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35BCC3" w14:textId="77777777" w:rsidR="00096856" w:rsidRDefault="00096856" w:rsidP="00481862">
      <w:pPr>
        <w:jc w:val="both"/>
        <w:rPr>
          <w:rFonts w:ascii="Arial" w:eastAsia="Times New Roman" w:hAnsi="Arial" w:cs="Arial"/>
          <w:b/>
        </w:rPr>
      </w:pPr>
    </w:p>
    <w:p w14:paraId="58F58B50" w14:textId="77777777" w:rsidR="00096856" w:rsidRPr="00096856" w:rsidRDefault="00096856" w:rsidP="00096856">
      <w:pPr>
        <w:jc w:val="both"/>
        <w:rPr>
          <w:rFonts w:ascii="Arial" w:eastAsia="Times New Roman" w:hAnsi="Arial" w:cs="Arial"/>
          <w:b/>
          <w:lang w:val="pt-PT"/>
        </w:rPr>
      </w:pPr>
      <w:r w:rsidRPr="00096856">
        <w:rPr>
          <w:rFonts w:ascii="Arial" w:eastAsia="Times New Roman" w:hAnsi="Arial" w:cs="Arial"/>
          <w:b/>
          <w:bCs/>
          <w:lang w:val="pt-PT"/>
        </w:rPr>
        <w:t>ENDESA AUMENTA O INVESTIMENTO PARA 9,6 MIL MILHÕES, UM RECORDE HISTÓRICO PARA A EMPRESA, COM O OBJECTIVO DE ENFRENTAR OS DESAFIOS DA TRANSIÇÃO ENERGÉTICA</w:t>
      </w:r>
      <w:r w:rsidRPr="00096856">
        <w:rPr>
          <w:rFonts w:ascii="Arial" w:eastAsia="Times New Roman" w:hAnsi="Arial" w:cs="Arial"/>
          <w:b/>
          <w:lang w:val="pt-PT"/>
        </w:rPr>
        <w:t xml:space="preserve"> </w:t>
      </w:r>
    </w:p>
    <w:p w14:paraId="5EEE59CC" w14:textId="77777777" w:rsidR="00096856" w:rsidRPr="00096856" w:rsidRDefault="00096856" w:rsidP="00096856">
      <w:pPr>
        <w:jc w:val="both"/>
        <w:rPr>
          <w:rFonts w:ascii="Arial" w:eastAsia="Times New Roman" w:hAnsi="Arial" w:cs="Arial"/>
          <w:b/>
          <w:lang w:val="pt-PT"/>
        </w:rPr>
      </w:pPr>
    </w:p>
    <w:p w14:paraId="78F7C9DD" w14:textId="11A5EA9E" w:rsidR="00096856" w:rsidRDefault="00096856" w:rsidP="00D3383D">
      <w:pPr>
        <w:pStyle w:val="PargrafodaLista"/>
        <w:numPr>
          <w:ilvl w:val="0"/>
          <w:numId w:val="17"/>
        </w:numPr>
        <w:rPr>
          <w:rFonts w:ascii="Arial" w:eastAsia="Times New Roman" w:hAnsi="Arial" w:cs="Arial"/>
          <w:b/>
          <w:bCs/>
          <w:szCs w:val="20"/>
          <w:lang w:val="pt-PT"/>
        </w:rPr>
      </w:pPr>
      <w:r w:rsidRPr="00D3383D">
        <w:rPr>
          <w:rFonts w:ascii="Arial" w:eastAsia="Times New Roman" w:hAnsi="Arial" w:cs="Arial"/>
          <w:b/>
          <w:bCs/>
          <w:szCs w:val="20"/>
          <w:lang w:val="pt-PT"/>
        </w:rPr>
        <w:t xml:space="preserve"> A empresa adapta-se aos ambiciosos objetivos de eletrificação para 2030 do PNIEC </w:t>
      </w:r>
      <w:r w:rsidR="00D3383D" w:rsidRPr="00D3383D">
        <w:rPr>
          <w:rFonts w:ascii="Arial" w:eastAsia="Times New Roman" w:hAnsi="Arial" w:cs="Arial"/>
          <w:b/>
          <w:bCs/>
          <w:szCs w:val="20"/>
          <w:lang w:val="pt-PT"/>
        </w:rPr>
        <w:t xml:space="preserve">(Plano Nacional Integrado de Energia e Clima) </w:t>
      </w:r>
      <w:r w:rsidRPr="00D3383D">
        <w:rPr>
          <w:rFonts w:ascii="Arial" w:eastAsia="Times New Roman" w:hAnsi="Arial" w:cs="Arial"/>
          <w:b/>
          <w:bCs/>
          <w:szCs w:val="20"/>
          <w:lang w:val="pt-PT"/>
        </w:rPr>
        <w:t xml:space="preserve">e planeia aumentar significativamente o investimento na rede elétrica para 4.000 milhões, 45% mais do que no anterior plano 2024-2026, enquanto aguarda melhorias e atualizações regulamentares. </w:t>
      </w:r>
    </w:p>
    <w:p w14:paraId="7DD2F30D" w14:textId="77777777" w:rsidR="00D3383D" w:rsidRDefault="00D3383D" w:rsidP="00D3383D">
      <w:pPr>
        <w:pStyle w:val="PargrafodaLista"/>
        <w:rPr>
          <w:rFonts w:ascii="Arial" w:eastAsia="Times New Roman" w:hAnsi="Arial" w:cs="Arial"/>
          <w:b/>
          <w:bCs/>
          <w:szCs w:val="20"/>
          <w:lang w:val="pt-PT"/>
        </w:rPr>
      </w:pPr>
    </w:p>
    <w:p w14:paraId="4CE29A97" w14:textId="30632396" w:rsidR="00D3383D" w:rsidRPr="00D3383D" w:rsidRDefault="00D3383D" w:rsidP="00D3383D">
      <w:pPr>
        <w:pStyle w:val="PargrafodaLista"/>
        <w:numPr>
          <w:ilvl w:val="0"/>
          <w:numId w:val="17"/>
        </w:numPr>
        <w:rPr>
          <w:rFonts w:ascii="Arial" w:eastAsia="Times New Roman" w:hAnsi="Arial" w:cs="Arial"/>
          <w:b/>
          <w:bCs/>
          <w:szCs w:val="20"/>
          <w:lang w:val="pt-PT"/>
        </w:rPr>
      </w:pPr>
      <w:r w:rsidRPr="00096856">
        <w:rPr>
          <w:rFonts w:ascii="Arial" w:eastAsia="Times New Roman" w:hAnsi="Arial" w:cs="Arial"/>
          <w:b/>
          <w:bCs/>
          <w:szCs w:val="20"/>
          <w:lang w:val="pt-PT"/>
        </w:rPr>
        <w:t xml:space="preserve">Está a reorientar o investimento em energias renováveis, que ascende a 3,7 mil milhões, reduzindo a exposição à energia solar e concentrando-se em </w:t>
      </w:r>
      <w:r w:rsidRPr="00D3383D">
        <w:rPr>
          <w:rFonts w:ascii="Arial" w:eastAsia="Times New Roman" w:hAnsi="Arial" w:cs="Arial"/>
          <w:b/>
          <w:bCs/>
          <w:szCs w:val="20"/>
          <w:lang w:val="pt-PT"/>
        </w:rPr>
        <w:t>ativos</w:t>
      </w:r>
      <w:r w:rsidRPr="00096856">
        <w:rPr>
          <w:rFonts w:ascii="Arial" w:eastAsia="Times New Roman" w:hAnsi="Arial" w:cs="Arial"/>
          <w:b/>
          <w:bCs/>
          <w:szCs w:val="20"/>
          <w:lang w:val="pt-PT"/>
        </w:rPr>
        <w:t xml:space="preserve"> de maior valor: hidroelétrica, com a aquisição de 626MW em Aragão, e desenvolvimentos de energia eólica</w:t>
      </w:r>
    </w:p>
    <w:p w14:paraId="55080C8F" w14:textId="77777777" w:rsidR="00096856" w:rsidRPr="00096856" w:rsidRDefault="00096856" w:rsidP="00096856">
      <w:pPr>
        <w:jc w:val="both"/>
        <w:rPr>
          <w:rFonts w:ascii="Arial" w:eastAsia="Times New Roman" w:hAnsi="Arial" w:cs="Arial"/>
          <w:b/>
          <w:bCs/>
          <w:kern w:val="1"/>
          <w:sz w:val="20"/>
          <w:szCs w:val="20"/>
          <w:lang w:val="pt-PT" w:eastAsia="zh-CN" w:bidi="hi-IN"/>
        </w:rPr>
      </w:pPr>
    </w:p>
    <w:p w14:paraId="742520E2" w14:textId="0F30D892" w:rsidR="00096856" w:rsidRPr="00096856" w:rsidRDefault="00096856" w:rsidP="00096856">
      <w:pPr>
        <w:pStyle w:val="PargrafodaLista"/>
        <w:numPr>
          <w:ilvl w:val="0"/>
          <w:numId w:val="15"/>
        </w:numPr>
        <w:rPr>
          <w:rFonts w:ascii="Arial" w:eastAsia="Times New Roman" w:hAnsi="Arial" w:cs="Arial"/>
          <w:b/>
          <w:bCs/>
          <w:szCs w:val="20"/>
          <w:lang w:val="pt-PT"/>
        </w:rPr>
      </w:pPr>
      <w:r w:rsidRPr="00096856">
        <w:rPr>
          <w:rFonts w:ascii="Arial" w:eastAsia="Times New Roman" w:hAnsi="Arial" w:cs="Arial"/>
          <w:b/>
          <w:bCs/>
          <w:szCs w:val="20"/>
          <w:lang w:val="pt-PT"/>
        </w:rPr>
        <w:t>Na comercialização, está focada em aumentar a sua carteira de clientes no mercado livre para 7,1 milhões até ao final do período, reforçando a fidelização dos que mais valorizam.</w:t>
      </w:r>
    </w:p>
    <w:p w14:paraId="4F6B740A" w14:textId="77777777" w:rsidR="00096856" w:rsidRPr="00096856" w:rsidRDefault="00096856" w:rsidP="00096856">
      <w:pPr>
        <w:jc w:val="both"/>
        <w:rPr>
          <w:rFonts w:ascii="Arial" w:eastAsia="Times New Roman" w:hAnsi="Arial" w:cs="Arial"/>
          <w:b/>
          <w:bCs/>
          <w:kern w:val="1"/>
          <w:sz w:val="20"/>
          <w:szCs w:val="20"/>
          <w:lang w:val="pt-PT" w:eastAsia="zh-CN" w:bidi="hi-IN"/>
        </w:rPr>
      </w:pPr>
    </w:p>
    <w:p w14:paraId="684F79E0" w14:textId="20E2AE6F" w:rsidR="00096856" w:rsidRPr="00096856" w:rsidRDefault="00096856" w:rsidP="00096856">
      <w:pPr>
        <w:pStyle w:val="PargrafodaLista"/>
        <w:numPr>
          <w:ilvl w:val="0"/>
          <w:numId w:val="15"/>
        </w:numPr>
        <w:rPr>
          <w:rFonts w:ascii="Arial" w:eastAsia="Times New Roman" w:hAnsi="Arial" w:cs="Arial"/>
          <w:b/>
          <w:bCs/>
          <w:szCs w:val="20"/>
          <w:lang w:val="pt-PT"/>
        </w:rPr>
      </w:pPr>
      <w:r w:rsidRPr="00096856">
        <w:rPr>
          <w:rFonts w:ascii="Arial" w:eastAsia="Times New Roman" w:hAnsi="Arial" w:cs="Arial"/>
          <w:b/>
          <w:bCs/>
          <w:szCs w:val="20"/>
          <w:lang w:val="pt-PT"/>
        </w:rPr>
        <w:t>O novo plano prevê ainda uma capacidade financeira adicional para acelerar os investimentos de forma a aproveitar as novas oportunidades decorrentes da transição energética para 2030.</w:t>
      </w:r>
    </w:p>
    <w:p w14:paraId="4C0362D6" w14:textId="77777777" w:rsidR="00096856" w:rsidRPr="00096856" w:rsidRDefault="00096856" w:rsidP="00096856">
      <w:pPr>
        <w:jc w:val="both"/>
        <w:rPr>
          <w:rFonts w:ascii="Arial" w:eastAsia="Times New Roman" w:hAnsi="Arial" w:cs="Arial"/>
          <w:b/>
          <w:bCs/>
          <w:kern w:val="1"/>
          <w:sz w:val="20"/>
          <w:szCs w:val="20"/>
          <w:lang w:val="pt-PT" w:eastAsia="zh-CN" w:bidi="hi-IN"/>
        </w:rPr>
      </w:pPr>
    </w:p>
    <w:p w14:paraId="38F38B20" w14:textId="15F3C485" w:rsidR="00096856" w:rsidRPr="00096856" w:rsidRDefault="00096856" w:rsidP="00096856">
      <w:pPr>
        <w:pStyle w:val="PargrafodaLista"/>
        <w:numPr>
          <w:ilvl w:val="0"/>
          <w:numId w:val="15"/>
        </w:numPr>
        <w:rPr>
          <w:rFonts w:ascii="Arial" w:eastAsia="Times New Roman" w:hAnsi="Arial" w:cs="Arial"/>
          <w:b/>
          <w:bCs/>
          <w:szCs w:val="20"/>
          <w:lang w:val="pt-PT"/>
        </w:rPr>
      </w:pPr>
      <w:r w:rsidRPr="00096856">
        <w:rPr>
          <w:rFonts w:ascii="Arial" w:eastAsia="Times New Roman" w:hAnsi="Arial" w:cs="Arial"/>
          <w:b/>
          <w:bCs/>
          <w:szCs w:val="20"/>
          <w:lang w:val="pt-PT"/>
        </w:rPr>
        <w:t>Prevê encerrar o exercício de 2024 superando a previsão do resultado líquido ordinário, que atingirá 1.800 milhões, e alcançando um ebitda de 5.200 milhões, na faixa alta da estimativa anunciada há um ano.</w:t>
      </w:r>
    </w:p>
    <w:p w14:paraId="722D2D3A" w14:textId="77777777" w:rsidR="00096856" w:rsidRPr="00096856" w:rsidRDefault="00096856" w:rsidP="00096856">
      <w:pPr>
        <w:jc w:val="both"/>
        <w:rPr>
          <w:rFonts w:ascii="Arial" w:eastAsia="Times New Roman" w:hAnsi="Arial" w:cs="Arial"/>
          <w:b/>
          <w:bCs/>
          <w:kern w:val="1"/>
          <w:sz w:val="20"/>
          <w:szCs w:val="20"/>
          <w:lang w:val="pt-PT" w:eastAsia="zh-CN" w:bidi="hi-IN"/>
        </w:rPr>
      </w:pPr>
    </w:p>
    <w:p w14:paraId="4A2D0BC5" w14:textId="03E93A33" w:rsidR="00096856" w:rsidRDefault="00096856" w:rsidP="00096856">
      <w:pPr>
        <w:pStyle w:val="PargrafodaLista"/>
        <w:numPr>
          <w:ilvl w:val="0"/>
          <w:numId w:val="15"/>
        </w:numPr>
        <w:rPr>
          <w:rFonts w:ascii="Arial" w:eastAsia="Times New Roman" w:hAnsi="Arial" w:cs="Arial"/>
          <w:b/>
          <w:bCs/>
          <w:szCs w:val="20"/>
          <w:lang w:val="pt-PT"/>
        </w:rPr>
      </w:pPr>
      <w:r w:rsidRPr="00096856">
        <w:rPr>
          <w:rFonts w:ascii="Arial" w:eastAsia="Times New Roman" w:hAnsi="Arial" w:cs="Arial"/>
          <w:b/>
          <w:bCs/>
          <w:szCs w:val="20"/>
          <w:lang w:val="pt-PT"/>
        </w:rPr>
        <w:t>Garante um dividendo de um euro por ação até 2027, estende o payout de 70% à totalidade do plano e aumenta a remuneração prevista para 2024 em quase 10%, para 1,2 euros por ação</w:t>
      </w:r>
      <w:r>
        <w:rPr>
          <w:rFonts w:ascii="Arial" w:eastAsia="Times New Roman" w:hAnsi="Arial" w:cs="Arial"/>
          <w:b/>
          <w:bCs/>
          <w:szCs w:val="20"/>
          <w:lang w:val="pt-PT"/>
        </w:rPr>
        <w:t>.</w:t>
      </w:r>
    </w:p>
    <w:p w14:paraId="427FE65B" w14:textId="77777777" w:rsidR="00096856" w:rsidRPr="00096856" w:rsidRDefault="00096856" w:rsidP="00096856">
      <w:pPr>
        <w:pStyle w:val="PargrafodaLista"/>
        <w:rPr>
          <w:rFonts w:ascii="Arial" w:eastAsia="Times New Roman" w:hAnsi="Arial" w:cs="Arial"/>
          <w:b/>
          <w:bCs/>
          <w:szCs w:val="20"/>
          <w:lang w:val="pt-PT"/>
        </w:rPr>
      </w:pPr>
    </w:p>
    <w:p w14:paraId="4BC50929" w14:textId="77777777" w:rsidR="00096856" w:rsidRPr="00096856" w:rsidRDefault="00096856" w:rsidP="00096856">
      <w:pPr>
        <w:pStyle w:val="PargrafodaLista"/>
        <w:numPr>
          <w:ilvl w:val="0"/>
          <w:numId w:val="15"/>
        </w:numPr>
        <w:spacing w:before="100" w:beforeAutospacing="1" w:after="100" w:afterAutospacing="1"/>
        <w:rPr>
          <w:rFonts w:ascii="Arial" w:eastAsia="Times New Roman" w:hAnsi="Arial" w:cs="Arial"/>
          <w:b/>
          <w:bCs/>
          <w:szCs w:val="20"/>
          <w:lang w:val="pt-PT"/>
        </w:rPr>
      </w:pPr>
      <w:r w:rsidRPr="00096856">
        <w:rPr>
          <w:rFonts w:ascii="Arial" w:eastAsia="Times New Roman" w:hAnsi="Arial" w:cs="Arial"/>
          <w:b/>
          <w:bCs/>
          <w:szCs w:val="20"/>
          <w:lang w:val="pt-PT"/>
        </w:rPr>
        <w:t xml:space="preserve">A empresa anuncia ao mercado que em 2027 espera atingir um EBITDA de até 5,9 mil milhões, um resultado líquido ordinário de até 2,2 mil milhões e uma dívida líquida entre 10 e 11 mil milhões. </w:t>
      </w:r>
    </w:p>
    <w:p w14:paraId="00BBDFA8" w14:textId="77777777" w:rsidR="00096856" w:rsidRPr="00096856" w:rsidRDefault="00096856" w:rsidP="00096856">
      <w:pPr>
        <w:pStyle w:val="PargrafodaLista"/>
        <w:rPr>
          <w:rFonts w:ascii="Arial" w:eastAsia="Times New Roman" w:hAnsi="Arial" w:cs="Arial"/>
          <w:b/>
          <w:bCs/>
          <w:szCs w:val="20"/>
          <w:lang w:val="pt-PT"/>
        </w:rPr>
      </w:pPr>
    </w:p>
    <w:p w14:paraId="7E0387CD" w14:textId="77777777" w:rsidR="00D3383D" w:rsidRPr="00D3383D" w:rsidRDefault="00D3383D" w:rsidP="00D3383D">
      <w:pPr>
        <w:tabs>
          <w:tab w:val="left" w:pos="1600"/>
        </w:tabs>
        <w:spacing w:line="260" w:lineRule="exact"/>
        <w:jc w:val="both"/>
        <w:rPr>
          <w:rFonts w:ascii="Arial" w:eastAsia="Times New Roman" w:hAnsi="Arial" w:cs="Arial"/>
          <w:sz w:val="20"/>
          <w:szCs w:val="20"/>
          <w:lang w:val="pt-PT"/>
        </w:rPr>
      </w:pPr>
      <w:r w:rsidRPr="00D3383D">
        <w:rPr>
          <w:rFonts w:ascii="Arial" w:eastAsia="Times New Roman" w:hAnsi="Arial" w:cs="Arial"/>
          <w:b/>
          <w:bCs/>
          <w:sz w:val="20"/>
          <w:szCs w:val="20"/>
          <w:lang w:val="pt-PT"/>
        </w:rPr>
        <w:t xml:space="preserve">Madrid, 19 de novembro de 2024. </w:t>
      </w:r>
      <w:r w:rsidRPr="00D3383D">
        <w:rPr>
          <w:rFonts w:ascii="Arial" w:eastAsia="Times New Roman" w:hAnsi="Arial" w:cs="Arial"/>
          <w:sz w:val="20"/>
          <w:szCs w:val="20"/>
          <w:lang w:val="pt-PT"/>
        </w:rPr>
        <w:t>A Endesa anunciou hoje ao mercado o seu novo plano estratégico 2025-2027, que surge num momento chave do percurso de transição energética e que tem como objetivo aproveitar as oportunidades e enfrentar os desafios decorrentes deste processo. O plano prevê um aumento global de 8% do investimento, até aos 9.600 milhões de euros, o que constitui um recorde histórico para a empresa desde que começou a operar no seu atual perímetro geográfico (Península Ibérica), em 2014. Isto dá uma ideia da ambição com que a Endesa encara os próximos anos e das amplas oportunidades que identifica no sector energético ibérico.</w:t>
      </w:r>
    </w:p>
    <w:p w14:paraId="687DAE78" w14:textId="77777777" w:rsidR="00D3383D" w:rsidRPr="00D3383D" w:rsidRDefault="00D3383D" w:rsidP="00D3383D">
      <w:pPr>
        <w:tabs>
          <w:tab w:val="left" w:pos="1600"/>
        </w:tabs>
        <w:spacing w:line="260" w:lineRule="exact"/>
        <w:jc w:val="both"/>
        <w:rPr>
          <w:rFonts w:ascii="Arial" w:eastAsia="Times New Roman" w:hAnsi="Arial" w:cs="Arial"/>
          <w:sz w:val="20"/>
          <w:szCs w:val="20"/>
          <w:lang w:val="pt-PT"/>
        </w:rPr>
      </w:pPr>
    </w:p>
    <w:p w14:paraId="389B1A1F" w14:textId="70C36AA2" w:rsidR="00D3383D" w:rsidRDefault="00D3383D" w:rsidP="00D3383D">
      <w:pPr>
        <w:tabs>
          <w:tab w:val="left" w:pos="1600"/>
        </w:tabs>
        <w:spacing w:line="260" w:lineRule="exact"/>
        <w:jc w:val="both"/>
        <w:rPr>
          <w:rFonts w:ascii="Arial" w:eastAsia="Times New Roman" w:hAnsi="Arial" w:cs="Arial"/>
          <w:sz w:val="20"/>
          <w:szCs w:val="20"/>
          <w:lang w:val="pt-PT"/>
        </w:rPr>
      </w:pPr>
      <w:r w:rsidRPr="00D3383D">
        <w:rPr>
          <w:rFonts w:ascii="Arial" w:eastAsia="Times New Roman" w:hAnsi="Arial" w:cs="Arial"/>
          <w:sz w:val="20"/>
          <w:szCs w:val="20"/>
          <w:lang w:val="pt-PT"/>
        </w:rPr>
        <w:lastRenderedPageBreak/>
        <w:t xml:space="preserve">O documento, que é publicado quando a empresa comemora o seu 80º aniversário acompanhando Espanha no seu desenvolvimento socioeconómico, centra-se num pilar fundamental: a promoção da eletrificação limpa, baseada em fontes de geração sem emissões, como alavanca para enfrentar os principais desafios que o sector energético enfrenta em toda a Europa. Desta forma, conseguir-se-á um sistema energético competitivo para os clientes, mais seguro, ao reduzir a dependência da energia externa, e sustentável, graças à redução das emissões de gases com efeito de estufa. </w:t>
      </w:r>
    </w:p>
    <w:p w14:paraId="35EBC04E" w14:textId="77777777" w:rsidR="00D3383D" w:rsidRDefault="00D3383D" w:rsidP="00D3383D">
      <w:pPr>
        <w:tabs>
          <w:tab w:val="left" w:pos="1600"/>
        </w:tabs>
        <w:spacing w:line="260" w:lineRule="exact"/>
        <w:jc w:val="both"/>
        <w:rPr>
          <w:rFonts w:ascii="Arial" w:eastAsia="Times New Roman" w:hAnsi="Arial" w:cs="Arial"/>
          <w:sz w:val="20"/>
          <w:szCs w:val="20"/>
          <w:lang w:val="pt-PT"/>
        </w:rPr>
      </w:pPr>
    </w:p>
    <w:p w14:paraId="39D7D795" w14:textId="7798FE6E" w:rsidR="00D3383D" w:rsidRPr="00D3383D" w:rsidRDefault="00D3383D" w:rsidP="00D3383D">
      <w:pPr>
        <w:tabs>
          <w:tab w:val="left" w:pos="1600"/>
        </w:tabs>
        <w:spacing w:line="260" w:lineRule="exact"/>
        <w:jc w:val="both"/>
        <w:rPr>
          <w:rFonts w:ascii="Arial" w:eastAsia="Times New Roman" w:hAnsi="Arial" w:cs="Arial"/>
          <w:sz w:val="20"/>
          <w:szCs w:val="20"/>
          <w:lang w:val="pt-PT"/>
        </w:rPr>
      </w:pPr>
      <w:r w:rsidRPr="00D3383D">
        <w:rPr>
          <w:rFonts w:ascii="Arial" w:eastAsia="Times New Roman" w:hAnsi="Arial" w:cs="Arial"/>
          <w:sz w:val="20"/>
          <w:szCs w:val="20"/>
          <w:lang w:val="pt-PT"/>
        </w:rPr>
        <w:t xml:space="preserve">O documento, apresentado à comunidade de investidores pelo CEO, José Bogas, e pelo diretor-geral económico-financeiro, Marco Palermo, tem também em conta os principais números e </w:t>
      </w:r>
      <w:r w:rsidR="005B1369" w:rsidRPr="00D3383D">
        <w:rPr>
          <w:rFonts w:ascii="Arial" w:eastAsia="Times New Roman" w:hAnsi="Arial" w:cs="Arial"/>
          <w:sz w:val="20"/>
          <w:szCs w:val="20"/>
          <w:lang w:val="pt-PT"/>
        </w:rPr>
        <w:t>objetivos</w:t>
      </w:r>
      <w:r w:rsidRPr="00D3383D">
        <w:rPr>
          <w:rFonts w:ascii="Arial" w:eastAsia="Times New Roman" w:hAnsi="Arial" w:cs="Arial"/>
          <w:sz w:val="20"/>
          <w:szCs w:val="20"/>
          <w:lang w:val="pt-PT"/>
        </w:rPr>
        <w:t xml:space="preserve"> contidos na atualização do Plano Nacional Integrado de Energia e Clima (PNIEC), apresentado pelo governo espanhol em setembro passado. Este documento inclui uma previsão de investimento de 308 mil milhões de euros, 82% dos quais terão de ser realizados pelo sector privado. Fundamentalmente, este novo PNIEC destaca-se pelo seu enfoque e maior ambição na eletrificação da economia (que absorverá 17% deste investimento, mais dez pontos do que no PNIEC anterior); um crescimento agressivo da nova capacidade solar e eólica, bem como do armazenamento; e uma aposta sólida numa rede </w:t>
      </w:r>
      <w:r w:rsidR="005B1369" w:rsidRPr="00D3383D">
        <w:rPr>
          <w:rFonts w:ascii="Arial" w:eastAsia="Times New Roman" w:hAnsi="Arial" w:cs="Arial"/>
          <w:sz w:val="20"/>
          <w:szCs w:val="20"/>
          <w:lang w:val="pt-PT"/>
        </w:rPr>
        <w:t>elétrica</w:t>
      </w:r>
      <w:r w:rsidRPr="00D3383D">
        <w:rPr>
          <w:rFonts w:ascii="Arial" w:eastAsia="Times New Roman" w:hAnsi="Arial" w:cs="Arial"/>
          <w:sz w:val="20"/>
          <w:szCs w:val="20"/>
          <w:lang w:val="pt-PT"/>
        </w:rPr>
        <w:t xml:space="preserve"> com mais capacidade e maior cobertura. Tudo isto exige, na opinião da empresa, um processo administrativo de aprovação mais ágil e um esforço com medidas específicas para aumentar a eletrificação e a procura de eletricidade, bem como a </w:t>
      </w:r>
      <w:r w:rsidR="00291D1E">
        <w:rPr>
          <w:rFonts w:ascii="Arial" w:eastAsia="Times New Roman" w:hAnsi="Arial" w:cs="Arial"/>
          <w:sz w:val="20"/>
          <w:szCs w:val="20"/>
          <w:lang w:val="pt-PT"/>
        </w:rPr>
        <w:t>aprovação</w:t>
      </w:r>
      <w:r w:rsidRPr="00D3383D">
        <w:rPr>
          <w:rFonts w:ascii="Arial" w:eastAsia="Times New Roman" w:hAnsi="Arial" w:cs="Arial"/>
          <w:sz w:val="20"/>
          <w:szCs w:val="20"/>
          <w:lang w:val="pt-PT"/>
        </w:rPr>
        <w:t xml:space="preserve"> de mecanismos de pagamento de capacidade.</w:t>
      </w:r>
    </w:p>
    <w:p w14:paraId="55BE426F" w14:textId="77777777" w:rsidR="00883B0F" w:rsidRPr="00D3383D" w:rsidRDefault="00883B0F" w:rsidP="4704008F">
      <w:pPr>
        <w:tabs>
          <w:tab w:val="left" w:pos="1600"/>
        </w:tabs>
        <w:spacing w:line="260" w:lineRule="exact"/>
        <w:jc w:val="both"/>
        <w:rPr>
          <w:rFonts w:ascii="Arial" w:eastAsia="Times New Roman" w:hAnsi="Arial" w:cs="Arial"/>
          <w:sz w:val="20"/>
          <w:szCs w:val="20"/>
          <w:lang w:val="pt-PT"/>
        </w:rPr>
      </w:pPr>
    </w:p>
    <w:p w14:paraId="0D0B940D" w14:textId="77777777" w:rsidR="00656A8E" w:rsidRPr="00D3383D" w:rsidRDefault="00656A8E" w:rsidP="008D7AA9">
      <w:pPr>
        <w:jc w:val="both"/>
        <w:rPr>
          <w:rFonts w:ascii="Arial" w:hAnsi="Arial" w:cs="Arial"/>
          <w:b/>
          <w:sz w:val="20"/>
          <w:szCs w:val="20"/>
          <w:lang w:val="pt-PT"/>
        </w:rPr>
      </w:pPr>
    </w:p>
    <w:p w14:paraId="782304A2" w14:textId="407968D1" w:rsidR="008E7584" w:rsidRDefault="00D3383D" w:rsidP="004D7E2E">
      <w:pPr>
        <w:jc w:val="both"/>
        <w:rPr>
          <w:rFonts w:ascii="Arial" w:hAnsi="Arial" w:cs="Arial"/>
          <w:sz w:val="20"/>
          <w:szCs w:val="20"/>
          <w:lang w:val="pt-PT"/>
        </w:rPr>
      </w:pPr>
      <w:r w:rsidRPr="00D3383D">
        <w:rPr>
          <w:rFonts w:ascii="Arial" w:hAnsi="Arial" w:cs="Arial"/>
          <w:sz w:val="20"/>
          <w:szCs w:val="20"/>
          <w:lang w:val="pt-PT"/>
        </w:rPr>
        <w:t xml:space="preserve">Mais concretamente, os 55 TWh de nova procura de eletricidade incluídos no novo PNIEC para atingir 307 TWh em 2030 (excluindo a procura para produzir hidrogénio verde) baseiam-se em dois eixos principais. Em primeiro lugar, um aumento de quatro vezes no consumo de eletricidade no sector dos transportes, para o qual deve ser assumido o compromisso de desenvolver uma rede de recarga sólida. E, em segundo lugar, uma previsão de crescimento de 48% da procura industrial, que deve também ser acompanhada do necessário desenvolvimento da rede </w:t>
      </w:r>
      <w:r w:rsidR="005B1369" w:rsidRPr="00D3383D">
        <w:rPr>
          <w:rFonts w:ascii="Arial" w:hAnsi="Arial" w:cs="Arial"/>
          <w:sz w:val="20"/>
          <w:szCs w:val="20"/>
          <w:lang w:val="pt-PT"/>
        </w:rPr>
        <w:t>elétrica</w:t>
      </w:r>
      <w:r w:rsidRPr="00D3383D">
        <w:rPr>
          <w:rFonts w:ascii="Arial" w:hAnsi="Arial" w:cs="Arial"/>
          <w:sz w:val="20"/>
          <w:szCs w:val="20"/>
          <w:lang w:val="pt-PT"/>
        </w:rPr>
        <w:t xml:space="preserve"> para a suportar.</w:t>
      </w:r>
    </w:p>
    <w:p w14:paraId="65679289" w14:textId="77777777" w:rsidR="00D3383D" w:rsidRDefault="00D3383D" w:rsidP="00D3383D">
      <w:pPr>
        <w:jc w:val="both"/>
        <w:rPr>
          <w:rFonts w:ascii="Arial" w:hAnsi="Arial" w:cs="Arial"/>
          <w:sz w:val="20"/>
          <w:szCs w:val="20"/>
          <w:lang w:val="pt-PT"/>
        </w:rPr>
      </w:pPr>
    </w:p>
    <w:p w14:paraId="0FDCB8D9" w14:textId="534C5CAA" w:rsidR="00736D30" w:rsidRPr="00736D30" w:rsidRDefault="00D3383D" w:rsidP="00736D30">
      <w:pPr>
        <w:jc w:val="both"/>
        <w:rPr>
          <w:rFonts w:ascii="Arial" w:hAnsi="Arial" w:cs="Arial"/>
          <w:sz w:val="20"/>
          <w:szCs w:val="20"/>
          <w:lang w:val="pt-PT"/>
        </w:rPr>
      </w:pPr>
      <w:r w:rsidRPr="00D3383D">
        <w:rPr>
          <w:rFonts w:ascii="Arial" w:hAnsi="Arial" w:cs="Arial"/>
          <w:sz w:val="20"/>
          <w:szCs w:val="20"/>
          <w:lang w:val="pt-PT"/>
        </w:rPr>
        <w:t xml:space="preserve">Centrando-se nesta nova procura industrial, a Endesa acredita que ser capaz de a satisfazer é uma alavanca única para a reindustrialização e o crescimento económico de Espanha. O preço competitivo da eletricidade produzida a partir de fontes limpas é um elemento diferencial a favor do país. Concretamente, dos 50GW de nova </w:t>
      </w:r>
      <w:r w:rsidR="00736D30">
        <w:rPr>
          <w:rFonts w:ascii="Arial" w:hAnsi="Arial" w:cs="Arial"/>
          <w:sz w:val="20"/>
          <w:szCs w:val="20"/>
          <w:lang w:val="pt-PT"/>
        </w:rPr>
        <w:t>procura</w:t>
      </w:r>
      <w:r w:rsidRPr="00D3383D">
        <w:rPr>
          <w:rFonts w:ascii="Arial" w:hAnsi="Arial" w:cs="Arial"/>
          <w:sz w:val="20"/>
          <w:szCs w:val="20"/>
          <w:lang w:val="pt-PT"/>
        </w:rPr>
        <w:t xml:space="preserve"> que solicitaram acesso à rede a nível nacional (dos quais 16GW são provenientes de centros de dados), cerca de 40% conseguiram esse acesso. </w:t>
      </w:r>
      <w:r w:rsidRPr="00736D30">
        <w:rPr>
          <w:rFonts w:ascii="Arial" w:hAnsi="Arial" w:cs="Arial"/>
          <w:sz w:val="20"/>
          <w:szCs w:val="20"/>
          <w:lang w:val="pt-PT"/>
        </w:rPr>
        <w:t>Isto representaria</w:t>
      </w:r>
      <w:r w:rsidR="00736D30" w:rsidRPr="00736D30">
        <w:rPr>
          <w:rFonts w:ascii="Arial" w:hAnsi="Arial" w:cs="Arial"/>
          <w:sz w:val="20"/>
          <w:szCs w:val="20"/>
          <w:lang w:val="pt-PT"/>
        </w:rPr>
        <w:t xml:space="preserve"> </w:t>
      </w:r>
      <w:r w:rsidR="00736D30">
        <w:rPr>
          <w:rFonts w:ascii="Arial" w:hAnsi="Arial" w:cs="Arial"/>
          <w:sz w:val="20"/>
          <w:szCs w:val="20"/>
          <w:lang w:val="pt-PT"/>
        </w:rPr>
        <w:t xml:space="preserve">(considerando a materialização razoável dos projetos) </w:t>
      </w:r>
      <w:r w:rsidR="00736D30" w:rsidRPr="00736D30">
        <w:rPr>
          <w:rFonts w:ascii="Arial" w:hAnsi="Arial" w:cs="Arial"/>
          <w:sz w:val="20"/>
          <w:szCs w:val="20"/>
          <w:lang w:val="pt-PT"/>
        </w:rPr>
        <w:t>poder atingir com as previsões da procura elétrica industrial de</w:t>
      </w:r>
      <w:r w:rsidRPr="00736D30">
        <w:rPr>
          <w:rFonts w:ascii="Arial" w:hAnsi="Arial" w:cs="Arial"/>
          <w:sz w:val="20"/>
          <w:szCs w:val="20"/>
          <w:lang w:val="pt-PT"/>
        </w:rPr>
        <w:t xml:space="preserve"> 3</w:t>
      </w:r>
      <w:r w:rsidR="00736D30" w:rsidRPr="00736D30">
        <w:rPr>
          <w:rFonts w:ascii="Arial" w:hAnsi="Arial" w:cs="Arial"/>
          <w:sz w:val="20"/>
          <w:szCs w:val="20"/>
          <w:lang w:val="pt-PT"/>
        </w:rPr>
        <w:t>3</w:t>
      </w:r>
      <w:r w:rsidRPr="00736D30">
        <w:rPr>
          <w:rFonts w:ascii="Arial" w:hAnsi="Arial" w:cs="Arial"/>
          <w:sz w:val="20"/>
          <w:szCs w:val="20"/>
          <w:lang w:val="pt-PT"/>
        </w:rPr>
        <w:t>TWh</w:t>
      </w:r>
      <w:r w:rsidR="00736D30" w:rsidRPr="00736D30">
        <w:rPr>
          <w:rFonts w:ascii="Arial" w:hAnsi="Arial" w:cs="Arial"/>
          <w:sz w:val="20"/>
          <w:szCs w:val="20"/>
          <w:lang w:val="pt-PT"/>
        </w:rPr>
        <w:t>.</w:t>
      </w:r>
    </w:p>
    <w:p w14:paraId="0933F3AB" w14:textId="77777777" w:rsidR="00D3383D" w:rsidRPr="005D7AB5" w:rsidRDefault="00D3383D" w:rsidP="00D3383D">
      <w:pPr>
        <w:jc w:val="both"/>
        <w:rPr>
          <w:rFonts w:ascii="Arial" w:hAnsi="Arial" w:cs="Arial"/>
          <w:sz w:val="20"/>
          <w:szCs w:val="20"/>
          <w:lang w:val="pt-PT"/>
        </w:rPr>
      </w:pPr>
    </w:p>
    <w:p w14:paraId="2AA3D939" w14:textId="250FDF6C" w:rsidR="00D3383D" w:rsidRDefault="00D3383D" w:rsidP="00D3383D">
      <w:pPr>
        <w:jc w:val="both"/>
        <w:rPr>
          <w:rFonts w:ascii="Arial" w:hAnsi="Arial" w:cs="Arial"/>
          <w:sz w:val="20"/>
          <w:szCs w:val="20"/>
          <w:lang w:val="pt-PT"/>
        </w:rPr>
      </w:pPr>
      <w:r w:rsidRPr="00D3383D">
        <w:rPr>
          <w:rFonts w:ascii="Arial" w:hAnsi="Arial" w:cs="Arial"/>
          <w:sz w:val="20"/>
          <w:szCs w:val="20"/>
          <w:lang w:val="pt-PT"/>
        </w:rPr>
        <w:t xml:space="preserve">Além disso, as receitas das </w:t>
      </w:r>
      <w:r w:rsidR="008C0072">
        <w:rPr>
          <w:rFonts w:ascii="Arial" w:hAnsi="Arial" w:cs="Arial"/>
          <w:sz w:val="20"/>
          <w:szCs w:val="20"/>
          <w:lang w:val="pt-PT"/>
        </w:rPr>
        <w:t>tarifas</w:t>
      </w:r>
      <w:r w:rsidRPr="00D3383D">
        <w:rPr>
          <w:rFonts w:ascii="Arial" w:hAnsi="Arial" w:cs="Arial"/>
          <w:sz w:val="20"/>
          <w:szCs w:val="20"/>
          <w:lang w:val="pt-PT"/>
        </w:rPr>
        <w:t xml:space="preserve"> de utilização da rede que pagariam esta nova procura</w:t>
      </w:r>
      <w:r w:rsidR="008C0072">
        <w:rPr>
          <w:rFonts w:ascii="Arial" w:hAnsi="Arial" w:cs="Arial"/>
          <w:sz w:val="20"/>
          <w:szCs w:val="20"/>
          <w:lang w:val="pt-PT"/>
        </w:rPr>
        <w:t>,</w:t>
      </w:r>
      <w:r w:rsidRPr="00D3383D">
        <w:rPr>
          <w:rFonts w:ascii="Arial" w:hAnsi="Arial" w:cs="Arial"/>
          <w:sz w:val="20"/>
          <w:szCs w:val="20"/>
          <w:lang w:val="pt-PT"/>
        </w:rPr>
        <w:t xml:space="preserve"> são até 9 vezes superiores aos custos de adaptação da rede elétrica para a receber. Isto mostra que a dinâmica de permitir o crescimento da procura industrial associada a um aprovisionamento energético sustentável gera benefícios a longo prazo para todo o sistema elétrico e para a economia.</w:t>
      </w:r>
    </w:p>
    <w:p w14:paraId="4EDFC0CC" w14:textId="6275EF14" w:rsidR="008C0072" w:rsidRPr="008C0072" w:rsidRDefault="008C0072" w:rsidP="008C0072">
      <w:pPr>
        <w:jc w:val="both"/>
        <w:rPr>
          <w:rFonts w:ascii="Arial" w:hAnsi="Arial" w:cs="Arial"/>
          <w:sz w:val="20"/>
          <w:szCs w:val="20"/>
          <w:lang w:val="pt-PT"/>
        </w:rPr>
      </w:pPr>
      <w:r w:rsidRPr="008C0072">
        <w:rPr>
          <w:rFonts w:ascii="Arial" w:hAnsi="Arial" w:cs="Arial"/>
          <w:sz w:val="20"/>
          <w:szCs w:val="20"/>
          <w:lang w:val="pt-PT"/>
        </w:rPr>
        <w:t xml:space="preserve">Neste sentido, o PNIEC prevê que o investimento em redes (distribuição e transporte) atinja os 52,4 mil milhões de euros entre 2021 e 2030, o que obrigaria a triplicar o volume anual de investimento em ambos os tipos de redes </w:t>
      </w:r>
      <w:r w:rsidR="005B1369" w:rsidRPr="008C0072">
        <w:rPr>
          <w:rFonts w:ascii="Arial" w:hAnsi="Arial" w:cs="Arial"/>
          <w:sz w:val="20"/>
          <w:szCs w:val="20"/>
          <w:lang w:val="pt-PT"/>
        </w:rPr>
        <w:t>elétricas</w:t>
      </w:r>
      <w:r w:rsidRPr="008C0072">
        <w:rPr>
          <w:rFonts w:ascii="Arial" w:hAnsi="Arial" w:cs="Arial"/>
          <w:sz w:val="20"/>
          <w:szCs w:val="20"/>
          <w:lang w:val="pt-PT"/>
        </w:rPr>
        <w:t xml:space="preserve"> nos restantes anos desta década. Este enorme esforço exige uma regulamentação que garanta:</w:t>
      </w:r>
    </w:p>
    <w:p w14:paraId="78F431DD" w14:textId="77777777" w:rsidR="008C0072" w:rsidRPr="008C0072" w:rsidRDefault="008C0072" w:rsidP="008C0072">
      <w:pPr>
        <w:jc w:val="both"/>
        <w:rPr>
          <w:rFonts w:ascii="Arial" w:hAnsi="Arial" w:cs="Arial"/>
          <w:sz w:val="20"/>
          <w:szCs w:val="20"/>
          <w:lang w:val="pt-PT"/>
        </w:rPr>
      </w:pPr>
    </w:p>
    <w:p w14:paraId="4B29F0BB" w14:textId="0804D8E3" w:rsidR="008C0072" w:rsidRPr="008C0072" w:rsidRDefault="008C0072" w:rsidP="008C0072">
      <w:pPr>
        <w:ind w:left="709"/>
        <w:jc w:val="both"/>
        <w:rPr>
          <w:rFonts w:ascii="Arial" w:hAnsi="Arial" w:cs="Arial"/>
          <w:sz w:val="20"/>
          <w:szCs w:val="20"/>
          <w:lang w:val="pt-PT"/>
        </w:rPr>
      </w:pPr>
      <w:r w:rsidRPr="008C0072">
        <w:rPr>
          <w:rFonts w:ascii="Arial" w:hAnsi="Arial" w:cs="Arial"/>
          <w:sz w:val="20"/>
          <w:szCs w:val="20"/>
          <w:lang w:val="pt-PT"/>
        </w:rPr>
        <w:t xml:space="preserve">- </w:t>
      </w:r>
      <w:r>
        <w:rPr>
          <w:rFonts w:ascii="Arial" w:hAnsi="Arial" w:cs="Arial"/>
          <w:sz w:val="20"/>
          <w:szCs w:val="20"/>
          <w:lang w:val="pt-PT"/>
        </w:rPr>
        <w:t>Um</w:t>
      </w:r>
      <w:r w:rsidRPr="008C0072">
        <w:rPr>
          <w:rFonts w:ascii="Arial" w:hAnsi="Arial" w:cs="Arial"/>
          <w:sz w:val="20"/>
          <w:szCs w:val="20"/>
          <w:lang w:val="pt-PT"/>
        </w:rPr>
        <w:t xml:space="preserve"> retorno adequado do investimento, com uma taxa entre 7,3% e 8,7%. Mais concretamente, a Endesa aposta numa taxa de 7,5%. </w:t>
      </w:r>
    </w:p>
    <w:p w14:paraId="2305231B" w14:textId="77777777" w:rsidR="008C0072" w:rsidRPr="008C0072" w:rsidRDefault="008C0072" w:rsidP="008C0072">
      <w:pPr>
        <w:ind w:left="709"/>
        <w:jc w:val="both"/>
        <w:rPr>
          <w:rFonts w:ascii="Arial" w:hAnsi="Arial" w:cs="Arial"/>
          <w:sz w:val="20"/>
          <w:szCs w:val="20"/>
          <w:lang w:val="pt-PT"/>
        </w:rPr>
      </w:pPr>
      <w:r w:rsidRPr="008C0072">
        <w:rPr>
          <w:rFonts w:ascii="Arial" w:hAnsi="Arial" w:cs="Arial"/>
          <w:sz w:val="20"/>
          <w:szCs w:val="20"/>
          <w:lang w:val="pt-PT"/>
        </w:rPr>
        <w:t>- O aumento do atual limite de investimento anual na rede.</w:t>
      </w:r>
    </w:p>
    <w:p w14:paraId="17208F3D" w14:textId="17FEB832" w:rsidR="008C0072" w:rsidRPr="008C0072" w:rsidRDefault="008C0072" w:rsidP="008C0072">
      <w:pPr>
        <w:ind w:left="709"/>
        <w:jc w:val="both"/>
        <w:rPr>
          <w:rFonts w:ascii="Arial" w:hAnsi="Arial" w:cs="Arial"/>
          <w:sz w:val="20"/>
          <w:szCs w:val="20"/>
          <w:lang w:val="pt-PT"/>
        </w:rPr>
      </w:pPr>
      <w:r w:rsidRPr="008C0072">
        <w:rPr>
          <w:rFonts w:ascii="Arial" w:hAnsi="Arial" w:cs="Arial"/>
          <w:sz w:val="20"/>
          <w:szCs w:val="20"/>
          <w:lang w:val="pt-PT"/>
        </w:rPr>
        <w:t xml:space="preserve">- </w:t>
      </w:r>
      <w:r>
        <w:rPr>
          <w:rFonts w:ascii="Arial" w:hAnsi="Arial" w:cs="Arial"/>
          <w:sz w:val="20"/>
          <w:szCs w:val="20"/>
          <w:lang w:val="pt-PT"/>
        </w:rPr>
        <w:t xml:space="preserve">A </w:t>
      </w:r>
      <w:r w:rsidRPr="008C0072">
        <w:rPr>
          <w:rFonts w:ascii="Arial" w:hAnsi="Arial" w:cs="Arial"/>
          <w:sz w:val="20"/>
          <w:szCs w:val="20"/>
          <w:lang w:val="pt-PT"/>
        </w:rPr>
        <w:t>melhoria do sistema de incentivos e a simplificação administrativa das licenças.</w:t>
      </w:r>
    </w:p>
    <w:p w14:paraId="5723D520" w14:textId="77777777" w:rsidR="008C0072" w:rsidRPr="008C0072" w:rsidRDefault="008C0072" w:rsidP="008C0072">
      <w:pPr>
        <w:jc w:val="both"/>
        <w:rPr>
          <w:rFonts w:ascii="Arial" w:hAnsi="Arial" w:cs="Arial"/>
          <w:sz w:val="20"/>
          <w:szCs w:val="20"/>
          <w:lang w:val="pt-PT"/>
        </w:rPr>
      </w:pPr>
    </w:p>
    <w:p w14:paraId="6EC88497" w14:textId="1EA01E5B" w:rsidR="008C0072" w:rsidRPr="00D3383D" w:rsidRDefault="008C0072" w:rsidP="008C0072">
      <w:pPr>
        <w:jc w:val="both"/>
        <w:rPr>
          <w:rFonts w:ascii="Arial" w:hAnsi="Arial" w:cs="Arial"/>
          <w:sz w:val="20"/>
          <w:szCs w:val="20"/>
          <w:lang w:val="pt-PT"/>
        </w:rPr>
      </w:pPr>
      <w:r w:rsidRPr="008C0072">
        <w:rPr>
          <w:rFonts w:ascii="Arial" w:hAnsi="Arial" w:cs="Arial"/>
          <w:sz w:val="20"/>
          <w:szCs w:val="20"/>
          <w:lang w:val="pt-PT"/>
        </w:rPr>
        <w:t xml:space="preserve">Especificamente no segmento dos centros de dados, a Endesa acredita que a Espanha é um hub extremamente atrativo para este sector, graças à sua localização estratégica entre a Europa, África e América, à sua robusta conetividade tecnológica, à sua sólida rede elétrica e à abundante e competitiva </w:t>
      </w:r>
      <w:r w:rsidRPr="008C0072">
        <w:rPr>
          <w:rFonts w:ascii="Arial" w:hAnsi="Arial" w:cs="Arial"/>
          <w:sz w:val="20"/>
          <w:szCs w:val="20"/>
          <w:lang w:val="pt-PT"/>
        </w:rPr>
        <w:lastRenderedPageBreak/>
        <w:t>produção de eletricidade renovável. A Endesa oferece uma proposta de valor abrangente para os operadores de centros de dados, desde a identificação de locais até à ligação à rede e ao processo de autorização administrativa. No entanto, a capacidade de ligação à rede é um ponto de estrangulamento crítico que, mais uma vez, deve conduzir a uma melhor regulação da rede de distribuição para permitir a modernização e o crescimento.</w:t>
      </w:r>
    </w:p>
    <w:p w14:paraId="646976A7" w14:textId="77777777" w:rsidR="002A4DCF" w:rsidRPr="00D3383D" w:rsidRDefault="002A4DCF" w:rsidP="004D7E2E">
      <w:pPr>
        <w:jc w:val="both"/>
        <w:rPr>
          <w:rFonts w:ascii="Arial" w:hAnsi="Arial" w:cs="Arial"/>
          <w:sz w:val="20"/>
          <w:szCs w:val="20"/>
          <w:lang w:val="pt-PT"/>
        </w:rPr>
      </w:pPr>
    </w:p>
    <w:p w14:paraId="26564D2A" w14:textId="77777777" w:rsidR="003E110F" w:rsidRPr="00D3383D" w:rsidRDefault="003E110F" w:rsidP="004D7E2E">
      <w:pPr>
        <w:jc w:val="both"/>
        <w:rPr>
          <w:rFonts w:ascii="Arial" w:hAnsi="Arial" w:cs="Arial"/>
          <w:sz w:val="20"/>
          <w:szCs w:val="20"/>
          <w:lang w:val="pt-PT"/>
        </w:rPr>
      </w:pPr>
    </w:p>
    <w:p w14:paraId="27DD28BB" w14:textId="0F1BE61C" w:rsidR="00ED6A7D" w:rsidRPr="008C0072" w:rsidRDefault="008C0072" w:rsidP="008D7AA9">
      <w:pPr>
        <w:jc w:val="both"/>
        <w:rPr>
          <w:rFonts w:ascii="Arial" w:hAnsi="Arial" w:cs="Arial"/>
          <w:sz w:val="20"/>
          <w:szCs w:val="20"/>
          <w:lang w:val="pt-PT"/>
        </w:rPr>
      </w:pPr>
      <w:r w:rsidRPr="008C0072">
        <w:rPr>
          <w:rFonts w:ascii="Arial" w:hAnsi="Arial" w:cs="Arial"/>
          <w:sz w:val="20"/>
          <w:szCs w:val="20"/>
          <w:lang w:val="pt-PT"/>
        </w:rPr>
        <w:t xml:space="preserve">José Bogas, CEO da Endesa, resumiu os principais marcos do plano, </w:t>
      </w:r>
      <w:r>
        <w:rPr>
          <w:rFonts w:ascii="Arial" w:hAnsi="Arial" w:cs="Arial"/>
          <w:sz w:val="20"/>
          <w:szCs w:val="20"/>
          <w:lang w:val="pt-PT"/>
        </w:rPr>
        <w:t>d</w:t>
      </w:r>
      <w:r w:rsidRPr="008C0072">
        <w:rPr>
          <w:rFonts w:ascii="Arial" w:hAnsi="Arial" w:cs="Arial"/>
          <w:sz w:val="20"/>
          <w:szCs w:val="20"/>
          <w:lang w:val="pt-PT"/>
        </w:rPr>
        <w:t xml:space="preserve">a empresa e </w:t>
      </w:r>
      <w:r>
        <w:rPr>
          <w:rFonts w:ascii="Arial" w:hAnsi="Arial" w:cs="Arial"/>
          <w:sz w:val="20"/>
          <w:szCs w:val="20"/>
          <w:lang w:val="pt-PT"/>
        </w:rPr>
        <w:t>d</w:t>
      </w:r>
      <w:r w:rsidRPr="008C0072">
        <w:rPr>
          <w:rFonts w:ascii="Arial" w:hAnsi="Arial" w:cs="Arial"/>
          <w:sz w:val="20"/>
          <w:szCs w:val="20"/>
          <w:lang w:val="pt-PT"/>
        </w:rPr>
        <w:t>a situação atual do sector energético da seguinte forma: “Estamos num momento chave para alcançar os objetivos de transição energética estabelecidos para 2030. A regulamentação deve ajudar-nos a alcançá-los. Este novo plano estratégico contém as bases para aproveitar as maiores oportunidades possíveis neste contexto. E proporciona à Endesa uma ampla capacidade financeira para acelerar e aumentar os investimentos necessários para o fazer. Estamos, em suma, no melhor sector e no melhor momento possível”.</w:t>
      </w:r>
    </w:p>
    <w:p w14:paraId="5D703A14" w14:textId="77777777" w:rsidR="005E7D74" w:rsidRPr="008C0072" w:rsidRDefault="005E7D74" w:rsidP="008D7AA9">
      <w:pPr>
        <w:jc w:val="both"/>
        <w:rPr>
          <w:rFonts w:ascii="Arial" w:hAnsi="Arial" w:cs="Arial"/>
          <w:sz w:val="20"/>
          <w:szCs w:val="20"/>
          <w:lang w:val="pt-PT"/>
        </w:rPr>
      </w:pPr>
    </w:p>
    <w:p w14:paraId="7A99150B" w14:textId="77777777" w:rsidR="008C0072" w:rsidRPr="008C0072" w:rsidRDefault="008C0072" w:rsidP="008C0072">
      <w:pPr>
        <w:jc w:val="both"/>
        <w:rPr>
          <w:rFonts w:ascii="Arial" w:hAnsi="Arial" w:cs="Arial"/>
          <w:sz w:val="20"/>
          <w:szCs w:val="20"/>
          <w:lang w:val="pt-PT"/>
        </w:rPr>
      </w:pPr>
      <w:r w:rsidRPr="008C0072">
        <w:rPr>
          <w:rFonts w:ascii="Arial" w:hAnsi="Arial" w:cs="Arial"/>
          <w:b/>
          <w:bCs/>
          <w:sz w:val="20"/>
          <w:szCs w:val="20"/>
          <w:lang w:val="pt-PT"/>
        </w:rPr>
        <w:t>A rede, a espinha dorsal da transição energética</w:t>
      </w:r>
    </w:p>
    <w:p w14:paraId="5DC94420" w14:textId="77777777" w:rsidR="008C0072" w:rsidRPr="008C0072" w:rsidRDefault="008C0072" w:rsidP="008C0072">
      <w:pPr>
        <w:jc w:val="both"/>
        <w:rPr>
          <w:rFonts w:ascii="Arial" w:hAnsi="Arial" w:cs="Arial"/>
          <w:sz w:val="20"/>
          <w:szCs w:val="20"/>
          <w:lang w:val="pt-PT"/>
        </w:rPr>
      </w:pPr>
    </w:p>
    <w:p w14:paraId="0D4766A8" w14:textId="3CCAE3B3" w:rsidR="008C0072" w:rsidRPr="008C0072" w:rsidRDefault="008C0072" w:rsidP="008C0072">
      <w:pPr>
        <w:jc w:val="both"/>
        <w:rPr>
          <w:rFonts w:ascii="Arial" w:hAnsi="Arial" w:cs="Arial"/>
          <w:sz w:val="20"/>
          <w:szCs w:val="20"/>
          <w:lang w:val="pt-PT"/>
        </w:rPr>
      </w:pPr>
      <w:r w:rsidRPr="008C0072">
        <w:rPr>
          <w:rFonts w:ascii="Arial" w:hAnsi="Arial" w:cs="Arial"/>
          <w:sz w:val="20"/>
          <w:szCs w:val="20"/>
          <w:lang w:val="pt-PT"/>
        </w:rPr>
        <w:t xml:space="preserve">Analisando mais detalhadamente a espinha dorsal desta nova estratégia até 2027, é de salientar que 42% do investimento previsto será afetado à rede de distribuição. Isto representa 4.000 milhões dos 9.600 milhões de euros, um aumento de 45% em comparação com o investimento destinado a esta infraestrutura no anterior plano 2024-2026. Destes 4 mil milhões, 45% serão utilizados para cumprir os </w:t>
      </w:r>
      <w:r w:rsidR="005B1369" w:rsidRPr="008C0072">
        <w:rPr>
          <w:rFonts w:ascii="Arial" w:hAnsi="Arial" w:cs="Arial"/>
          <w:sz w:val="20"/>
          <w:szCs w:val="20"/>
          <w:lang w:val="pt-PT"/>
        </w:rPr>
        <w:t>objetivos</w:t>
      </w:r>
      <w:r w:rsidRPr="008C0072">
        <w:rPr>
          <w:rFonts w:ascii="Arial" w:hAnsi="Arial" w:cs="Arial"/>
          <w:sz w:val="20"/>
          <w:szCs w:val="20"/>
          <w:lang w:val="pt-PT"/>
        </w:rPr>
        <w:t xml:space="preserve"> do PNIEC e responder à procura crescente de novas ligações, que atualmente podem ser rejeitadas devido à falta de capacidade. Outros 25% serão utilizados para melhorar a qualidade do serviço, </w:t>
      </w:r>
      <w:r w:rsidR="00E57491" w:rsidRPr="008C0072">
        <w:rPr>
          <w:rFonts w:ascii="Arial" w:hAnsi="Arial" w:cs="Arial"/>
          <w:sz w:val="20"/>
          <w:szCs w:val="20"/>
          <w:lang w:val="pt-PT"/>
        </w:rPr>
        <w:t>otimizando</w:t>
      </w:r>
      <w:r w:rsidRPr="008C0072">
        <w:rPr>
          <w:rFonts w:ascii="Arial" w:hAnsi="Arial" w:cs="Arial"/>
          <w:sz w:val="20"/>
          <w:szCs w:val="20"/>
          <w:lang w:val="pt-PT"/>
        </w:rPr>
        <w:t xml:space="preserve"> a estrutura da rede e aumentando a telegestão das linhas de média e baixa tensão. Os restantes 30% serão gastos na digitalização e modernização, através da renovação de componentes, da atualização do parque de contadores inteligentes e da monitorização e controlo remoto.</w:t>
      </w:r>
    </w:p>
    <w:p w14:paraId="0739E525" w14:textId="77777777" w:rsidR="008C0072" w:rsidRPr="008C0072" w:rsidRDefault="008C0072" w:rsidP="008C0072">
      <w:pPr>
        <w:jc w:val="both"/>
        <w:rPr>
          <w:rFonts w:ascii="Arial" w:hAnsi="Arial" w:cs="Arial"/>
          <w:sz w:val="20"/>
          <w:szCs w:val="20"/>
          <w:lang w:val="pt-PT"/>
        </w:rPr>
      </w:pPr>
    </w:p>
    <w:p w14:paraId="53187310" w14:textId="77777777" w:rsidR="008C0072" w:rsidRDefault="008C0072" w:rsidP="008C0072">
      <w:pPr>
        <w:jc w:val="both"/>
        <w:rPr>
          <w:rFonts w:ascii="Arial" w:hAnsi="Arial" w:cs="Arial"/>
          <w:sz w:val="20"/>
          <w:szCs w:val="20"/>
          <w:lang w:val="pt-PT"/>
        </w:rPr>
      </w:pPr>
      <w:r w:rsidRPr="008C0072">
        <w:rPr>
          <w:rFonts w:ascii="Arial" w:hAnsi="Arial" w:cs="Arial"/>
          <w:sz w:val="20"/>
          <w:szCs w:val="20"/>
          <w:lang w:val="pt-PT"/>
        </w:rPr>
        <w:t>Com todo este significativo investimento, a base de activos regulados da Endesa - atualmente o maior operador de rede de distribuição em Espanha - ascenderá a 12.100 milhões de euros, mais 6% no final do período.</w:t>
      </w:r>
    </w:p>
    <w:p w14:paraId="1B18A12E" w14:textId="77777777" w:rsidR="008C0072" w:rsidRDefault="008C0072" w:rsidP="008C0072">
      <w:pPr>
        <w:jc w:val="both"/>
        <w:rPr>
          <w:rFonts w:ascii="Arial" w:hAnsi="Arial" w:cs="Arial"/>
          <w:sz w:val="20"/>
          <w:szCs w:val="20"/>
          <w:lang w:val="pt-PT"/>
        </w:rPr>
      </w:pPr>
    </w:p>
    <w:p w14:paraId="763D0596" w14:textId="2C21572C" w:rsidR="008C0072" w:rsidRPr="008C0072" w:rsidRDefault="008C0072" w:rsidP="008C0072">
      <w:pPr>
        <w:jc w:val="both"/>
        <w:rPr>
          <w:rFonts w:ascii="Arial" w:hAnsi="Arial" w:cs="Arial"/>
          <w:sz w:val="20"/>
          <w:szCs w:val="20"/>
          <w:lang w:val="pt-PT"/>
        </w:rPr>
      </w:pPr>
      <w:r w:rsidRPr="008C0072">
        <w:rPr>
          <w:rFonts w:ascii="Arial" w:hAnsi="Arial" w:cs="Arial"/>
          <w:sz w:val="20"/>
          <w:szCs w:val="20"/>
          <w:lang w:val="pt-PT"/>
        </w:rPr>
        <w:t xml:space="preserve">Em relação à taxa de remuneração financeira, e enquanto se aguarda uma proposta do regulador, a Endesa reiterou que a comparação com outros países onde já foi </w:t>
      </w:r>
      <w:r w:rsidR="005B1369" w:rsidRPr="008C0072">
        <w:rPr>
          <w:rFonts w:ascii="Arial" w:hAnsi="Arial" w:cs="Arial"/>
          <w:sz w:val="20"/>
          <w:szCs w:val="20"/>
          <w:lang w:val="pt-PT"/>
        </w:rPr>
        <w:t>atualizada</w:t>
      </w:r>
      <w:r w:rsidRPr="008C0072">
        <w:rPr>
          <w:rFonts w:ascii="Arial" w:hAnsi="Arial" w:cs="Arial"/>
          <w:sz w:val="20"/>
          <w:szCs w:val="20"/>
          <w:lang w:val="pt-PT"/>
        </w:rPr>
        <w:t xml:space="preserve"> mostra que os reguladores da Alemanha, Itália, Reino Unido, Dinamarca e Finlândia aplicaram um diferencial de mais de 500 pontos base sobre as rentabilidades das obrigações soberanas a 10 anos desses países. </w:t>
      </w:r>
    </w:p>
    <w:p w14:paraId="1E0C5450" w14:textId="77777777" w:rsidR="008C0072" w:rsidRPr="008C0072" w:rsidRDefault="008C0072" w:rsidP="008C0072">
      <w:pPr>
        <w:jc w:val="both"/>
        <w:rPr>
          <w:rFonts w:ascii="Arial" w:hAnsi="Arial" w:cs="Arial"/>
          <w:sz w:val="20"/>
          <w:szCs w:val="20"/>
          <w:lang w:val="pt-PT"/>
        </w:rPr>
      </w:pPr>
    </w:p>
    <w:p w14:paraId="735A4ABA" w14:textId="5A0B4E9D" w:rsidR="008C0072" w:rsidRPr="008C0072" w:rsidRDefault="008C0072" w:rsidP="008C0072">
      <w:pPr>
        <w:jc w:val="both"/>
        <w:rPr>
          <w:rFonts w:ascii="Arial" w:hAnsi="Arial" w:cs="Arial"/>
          <w:sz w:val="20"/>
          <w:szCs w:val="20"/>
          <w:lang w:val="pt-PT"/>
        </w:rPr>
      </w:pPr>
      <w:r w:rsidRPr="008C0072">
        <w:rPr>
          <w:rFonts w:ascii="Arial" w:hAnsi="Arial" w:cs="Arial"/>
          <w:sz w:val="20"/>
          <w:szCs w:val="20"/>
          <w:lang w:val="pt-PT"/>
        </w:rPr>
        <w:t>Na sua apresentação aos investidores, a empresa recordou ainda as orientações recentemente enviadas pelo Ministério da Transição Ecológica à CNMC para a atualização desta taxa: a existência de uma concorrência global pelos recursos destinados à transição energética; a necessidade de promover as redes de transporte e distribuição para responder às novas exigências de consumo e aos pedidos de ligação de novas centrais de produção renovável; e a necessidade de estabelecer uma remuneração adequada aos desafios da transição sem comprometer as tarifas pagas pelo cliente final.</w:t>
      </w:r>
    </w:p>
    <w:p w14:paraId="3B79E8F4" w14:textId="77777777" w:rsidR="00F86852" w:rsidRPr="008C0072" w:rsidRDefault="00F86852" w:rsidP="008D7AA9">
      <w:pPr>
        <w:jc w:val="both"/>
        <w:rPr>
          <w:rFonts w:ascii="Arial" w:hAnsi="Arial" w:cs="Arial"/>
          <w:sz w:val="20"/>
          <w:szCs w:val="20"/>
          <w:lang w:val="pt-PT"/>
        </w:rPr>
      </w:pPr>
    </w:p>
    <w:p w14:paraId="1C2F0B17" w14:textId="77777777" w:rsidR="00D815E9" w:rsidRPr="008C0072" w:rsidRDefault="00D815E9" w:rsidP="008D7AA9">
      <w:pPr>
        <w:jc w:val="both"/>
        <w:rPr>
          <w:rFonts w:ascii="Arial" w:hAnsi="Arial" w:cs="Arial"/>
          <w:b/>
          <w:bCs/>
          <w:sz w:val="20"/>
          <w:szCs w:val="20"/>
          <w:lang w:val="pt-PT"/>
        </w:rPr>
      </w:pPr>
    </w:p>
    <w:p w14:paraId="68CAFEB0" w14:textId="77777777" w:rsidR="00D33020" w:rsidRPr="00D33020" w:rsidRDefault="00D33020" w:rsidP="00D33020">
      <w:pPr>
        <w:jc w:val="both"/>
        <w:rPr>
          <w:rFonts w:ascii="Arial" w:hAnsi="Arial" w:cs="Arial"/>
          <w:b/>
          <w:bCs/>
          <w:sz w:val="20"/>
          <w:szCs w:val="20"/>
          <w:lang w:val="pt-PT"/>
        </w:rPr>
      </w:pPr>
      <w:r w:rsidRPr="00D33020">
        <w:rPr>
          <w:rFonts w:ascii="Arial" w:hAnsi="Arial" w:cs="Arial"/>
          <w:b/>
          <w:bCs/>
          <w:sz w:val="20"/>
          <w:szCs w:val="20"/>
          <w:lang w:val="pt-PT"/>
        </w:rPr>
        <w:t>Geração: uma viragem para activos de maior valor</w:t>
      </w:r>
    </w:p>
    <w:p w14:paraId="4E999BE0" w14:textId="77777777" w:rsidR="00D33020" w:rsidRPr="00D33020" w:rsidRDefault="00D33020" w:rsidP="00D33020">
      <w:pPr>
        <w:jc w:val="both"/>
        <w:rPr>
          <w:rFonts w:ascii="Arial" w:hAnsi="Arial" w:cs="Arial"/>
          <w:b/>
          <w:bCs/>
          <w:sz w:val="20"/>
          <w:szCs w:val="20"/>
          <w:lang w:val="pt-PT"/>
        </w:rPr>
      </w:pPr>
    </w:p>
    <w:p w14:paraId="75FDB677" w14:textId="5E3F8639" w:rsidR="00D33020" w:rsidRPr="00D33020" w:rsidRDefault="00D33020" w:rsidP="00D33020">
      <w:pPr>
        <w:jc w:val="both"/>
        <w:rPr>
          <w:rFonts w:ascii="Arial" w:hAnsi="Arial" w:cs="Arial"/>
          <w:sz w:val="20"/>
          <w:szCs w:val="20"/>
          <w:lang w:val="pt-PT"/>
        </w:rPr>
      </w:pPr>
      <w:r w:rsidRPr="00D33020">
        <w:rPr>
          <w:rFonts w:ascii="Arial" w:hAnsi="Arial" w:cs="Arial"/>
          <w:sz w:val="20"/>
          <w:szCs w:val="20"/>
          <w:lang w:val="pt-PT"/>
        </w:rPr>
        <w:t xml:space="preserve">A atividade de geração é o outro grande pilar do plano estratégico, absorvendo 39% do total: 3.700 milhões de euros. O critério que guiará a empresa nos próximos três anos é o de reequilibrar a aposta entre tecnologias, reduzindo a exposição ao negócio solar (15% do investimento), para reforçar o eólico (37% do total) e o hidroelétrico (outros 37%). Os restantes 11% serão </w:t>
      </w:r>
      <w:r w:rsidR="00E57491" w:rsidRPr="00D33020">
        <w:rPr>
          <w:rFonts w:ascii="Arial" w:hAnsi="Arial" w:cs="Arial"/>
          <w:sz w:val="20"/>
          <w:szCs w:val="20"/>
          <w:lang w:val="pt-PT"/>
        </w:rPr>
        <w:t>afetados</w:t>
      </w:r>
      <w:r w:rsidRPr="00D33020">
        <w:rPr>
          <w:rFonts w:ascii="Arial" w:hAnsi="Arial" w:cs="Arial"/>
          <w:sz w:val="20"/>
          <w:szCs w:val="20"/>
          <w:lang w:val="pt-PT"/>
        </w:rPr>
        <w:t xml:space="preserve"> ao armazenamento de baterias. </w:t>
      </w:r>
    </w:p>
    <w:p w14:paraId="214DE81F" w14:textId="77777777" w:rsidR="00D33020" w:rsidRPr="00D33020" w:rsidRDefault="00D33020" w:rsidP="00D33020">
      <w:pPr>
        <w:jc w:val="both"/>
        <w:rPr>
          <w:rFonts w:ascii="Arial" w:hAnsi="Arial" w:cs="Arial"/>
          <w:sz w:val="20"/>
          <w:szCs w:val="20"/>
          <w:lang w:val="pt-PT"/>
        </w:rPr>
      </w:pPr>
    </w:p>
    <w:p w14:paraId="44CEAE86" w14:textId="4ED520ED" w:rsidR="00D33020" w:rsidRPr="00D33020" w:rsidRDefault="00D33020" w:rsidP="00D33020">
      <w:pPr>
        <w:jc w:val="both"/>
        <w:rPr>
          <w:rFonts w:ascii="Arial" w:hAnsi="Arial" w:cs="Arial"/>
          <w:sz w:val="20"/>
          <w:szCs w:val="20"/>
          <w:lang w:val="pt-PT"/>
        </w:rPr>
      </w:pPr>
      <w:r w:rsidRPr="00D33020">
        <w:rPr>
          <w:rFonts w:ascii="Arial" w:hAnsi="Arial" w:cs="Arial"/>
          <w:sz w:val="20"/>
          <w:szCs w:val="20"/>
          <w:lang w:val="pt-PT"/>
        </w:rPr>
        <w:t xml:space="preserve">O investimento em </w:t>
      </w:r>
      <w:r w:rsidR="00E57491" w:rsidRPr="00D33020">
        <w:rPr>
          <w:rFonts w:ascii="Arial" w:hAnsi="Arial" w:cs="Arial"/>
          <w:sz w:val="20"/>
          <w:szCs w:val="20"/>
          <w:lang w:val="pt-PT"/>
        </w:rPr>
        <w:t>ativos</w:t>
      </w:r>
      <w:r w:rsidRPr="00D33020">
        <w:rPr>
          <w:rFonts w:ascii="Arial" w:hAnsi="Arial" w:cs="Arial"/>
          <w:sz w:val="20"/>
          <w:szCs w:val="20"/>
          <w:lang w:val="pt-PT"/>
        </w:rPr>
        <w:t xml:space="preserve"> </w:t>
      </w:r>
      <w:r w:rsidR="00E57491" w:rsidRPr="00D33020">
        <w:rPr>
          <w:rFonts w:ascii="Arial" w:hAnsi="Arial" w:cs="Arial"/>
          <w:sz w:val="20"/>
          <w:szCs w:val="20"/>
          <w:lang w:val="pt-PT"/>
        </w:rPr>
        <w:t>hidroelétricos</w:t>
      </w:r>
      <w:r w:rsidRPr="00D33020">
        <w:rPr>
          <w:rFonts w:ascii="Arial" w:hAnsi="Arial" w:cs="Arial"/>
          <w:sz w:val="20"/>
          <w:szCs w:val="20"/>
          <w:lang w:val="pt-PT"/>
        </w:rPr>
        <w:t xml:space="preserve"> já inclui os mil milhões de euros destinados à recente aquisição de 100% da Corporación Acciona Hidráulica, que deverá estar concluída no primeiro trimestre de 2025. Esta operação significa acrescentar, aos </w:t>
      </w:r>
      <w:r w:rsidR="00E57491" w:rsidRPr="00D33020">
        <w:rPr>
          <w:rFonts w:ascii="Arial" w:hAnsi="Arial" w:cs="Arial"/>
          <w:sz w:val="20"/>
          <w:szCs w:val="20"/>
          <w:lang w:val="pt-PT"/>
        </w:rPr>
        <w:t>atuais</w:t>
      </w:r>
      <w:r w:rsidRPr="00D33020">
        <w:rPr>
          <w:rFonts w:ascii="Arial" w:hAnsi="Arial" w:cs="Arial"/>
          <w:sz w:val="20"/>
          <w:szCs w:val="20"/>
          <w:lang w:val="pt-PT"/>
        </w:rPr>
        <w:t xml:space="preserve"> 4.700MW de capacidade</w:t>
      </w:r>
      <w:r w:rsidRPr="00D33020">
        <w:rPr>
          <w:rFonts w:ascii="Arial" w:hAnsi="Arial" w:cs="Arial"/>
          <w:b/>
          <w:bCs/>
          <w:sz w:val="20"/>
          <w:szCs w:val="20"/>
          <w:lang w:val="pt-PT"/>
        </w:rPr>
        <w:t xml:space="preserve"> </w:t>
      </w:r>
      <w:r w:rsidRPr="00D33020">
        <w:rPr>
          <w:rFonts w:ascii="Arial" w:hAnsi="Arial" w:cs="Arial"/>
          <w:sz w:val="20"/>
          <w:szCs w:val="20"/>
          <w:lang w:val="pt-PT"/>
        </w:rPr>
        <w:t xml:space="preserve">hidroelétrica, mais 626MW localizados em Aragão, Soria, Navarra e Valência (87% dos quais são geríveis). A vida útil média destes </w:t>
      </w:r>
      <w:r w:rsidR="00E57491" w:rsidRPr="00D33020">
        <w:rPr>
          <w:rFonts w:ascii="Arial" w:hAnsi="Arial" w:cs="Arial"/>
          <w:sz w:val="20"/>
          <w:szCs w:val="20"/>
          <w:lang w:val="pt-PT"/>
        </w:rPr>
        <w:t>ativos</w:t>
      </w:r>
      <w:r w:rsidRPr="00D33020">
        <w:rPr>
          <w:rFonts w:ascii="Arial" w:hAnsi="Arial" w:cs="Arial"/>
          <w:sz w:val="20"/>
          <w:szCs w:val="20"/>
          <w:lang w:val="pt-PT"/>
        </w:rPr>
        <w:t xml:space="preserve"> é de 30 anos. </w:t>
      </w:r>
    </w:p>
    <w:p w14:paraId="480A2C89" w14:textId="77777777" w:rsidR="00D33020" w:rsidRPr="00D33020" w:rsidRDefault="00D33020" w:rsidP="00D33020">
      <w:pPr>
        <w:jc w:val="both"/>
        <w:rPr>
          <w:rFonts w:ascii="Arial" w:hAnsi="Arial" w:cs="Arial"/>
          <w:sz w:val="20"/>
          <w:szCs w:val="20"/>
          <w:lang w:val="pt-PT"/>
        </w:rPr>
      </w:pPr>
    </w:p>
    <w:p w14:paraId="495B6626" w14:textId="5DE8DBFE" w:rsidR="00D33020" w:rsidRPr="00D33020" w:rsidRDefault="00D33020" w:rsidP="00D33020">
      <w:pPr>
        <w:jc w:val="both"/>
        <w:rPr>
          <w:rFonts w:ascii="Arial" w:hAnsi="Arial" w:cs="Arial"/>
          <w:sz w:val="20"/>
          <w:szCs w:val="20"/>
          <w:lang w:val="pt-PT"/>
        </w:rPr>
      </w:pPr>
      <w:r w:rsidRPr="00D33020">
        <w:rPr>
          <w:rFonts w:ascii="Arial" w:hAnsi="Arial" w:cs="Arial"/>
          <w:sz w:val="20"/>
          <w:szCs w:val="20"/>
          <w:lang w:val="pt-PT"/>
        </w:rPr>
        <w:t>Esta transação é estrategicamente significativa, uma vez que está em linha com o compromisso da Endesa de expandir a carteira de energias renováveis e está alinhada com os esforços de sustentabilidade da empresa. Ao integrar estes activos hidroelétricos, não só diversifica as fontes de produção de eletricidade, como também reforça o negócio verticalmente integrado da empresa como um conjunto.</w:t>
      </w:r>
    </w:p>
    <w:p w14:paraId="0127EDA5" w14:textId="77777777" w:rsidR="00F86852" w:rsidRPr="008C0072" w:rsidRDefault="00F86852" w:rsidP="008D7AA9">
      <w:pPr>
        <w:jc w:val="both"/>
        <w:rPr>
          <w:rFonts w:ascii="Arial" w:hAnsi="Arial" w:cs="Arial"/>
          <w:b/>
          <w:bCs/>
          <w:sz w:val="20"/>
          <w:szCs w:val="20"/>
          <w:lang w:val="pt-PT"/>
        </w:rPr>
      </w:pPr>
    </w:p>
    <w:p w14:paraId="57519891" w14:textId="77777777" w:rsidR="00546B2E" w:rsidRPr="00D33020" w:rsidRDefault="00546B2E" w:rsidP="00934387">
      <w:pPr>
        <w:jc w:val="both"/>
        <w:rPr>
          <w:rFonts w:ascii="Arial" w:hAnsi="Arial" w:cs="Arial"/>
          <w:sz w:val="20"/>
          <w:szCs w:val="20"/>
          <w:lang w:val="pt-PT"/>
        </w:rPr>
      </w:pPr>
    </w:p>
    <w:p w14:paraId="265783AA" w14:textId="1F83CC96" w:rsidR="00D33020" w:rsidRPr="00D33020" w:rsidRDefault="00D33020" w:rsidP="00D33020">
      <w:pPr>
        <w:jc w:val="both"/>
        <w:rPr>
          <w:rFonts w:ascii="Arial" w:hAnsi="Arial" w:cs="Arial"/>
          <w:sz w:val="20"/>
          <w:szCs w:val="20"/>
          <w:lang w:val="pt-PT"/>
        </w:rPr>
      </w:pPr>
      <w:r w:rsidRPr="00D33020">
        <w:rPr>
          <w:rFonts w:ascii="Arial" w:hAnsi="Arial" w:cs="Arial"/>
          <w:sz w:val="20"/>
          <w:szCs w:val="20"/>
          <w:lang w:val="pt-PT"/>
        </w:rPr>
        <w:t xml:space="preserve">Com tudo isto, ou seja, a aquisição e o investimento em novos </w:t>
      </w:r>
      <w:r w:rsidR="005B1369" w:rsidRPr="00D33020">
        <w:rPr>
          <w:rFonts w:ascii="Arial" w:hAnsi="Arial" w:cs="Arial"/>
          <w:sz w:val="20"/>
          <w:szCs w:val="20"/>
          <w:lang w:val="pt-PT"/>
        </w:rPr>
        <w:t>ativos</w:t>
      </w:r>
      <w:r w:rsidRPr="00D33020">
        <w:rPr>
          <w:rFonts w:ascii="Arial" w:hAnsi="Arial" w:cs="Arial"/>
          <w:sz w:val="20"/>
          <w:szCs w:val="20"/>
          <w:lang w:val="pt-PT"/>
        </w:rPr>
        <w:t>, a produção renovável crescerá 32% até ao final do período, atingindo 25 TWh. Serão adicionados até</w:t>
      </w:r>
      <w:r w:rsidR="003827C9">
        <w:rPr>
          <w:rFonts w:ascii="Arial" w:hAnsi="Arial" w:cs="Arial"/>
          <w:sz w:val="20"/>
          <w:szCs w:val="20"/>
          <w:lang w:val="pt-PT"/>
        </w:rPr>
        <w:t xml:space="preserve"> </w:t>
      </w:r>
      <w:r w:rsidR="003827C9" w:rsidRPr="003827C9">
        <w:rPr>
          <w:rFonts w:ascii="Arial" w:hAnsi="Arial" w:cs="Arial"/>
          <w:sz w:val="20"/>
          <w:szCs w:val="20"/>
          <w:lang w:val="pt-PT"/>
        </w:rPr>
        <w:t>3GW</w:t>
      </w:r>
      <w:r w:rsidR="003827C9">
        <w:rPr>
          <w:rFonts w:ascii="Arial" w:hAnsi="Arial" w:cs="Arial"/>
          <w:sz w:val="20"/>
          <w:szCs w:val="20"/>
          <w:lang w:val="pt-PT"/>
        </w:rPr>
        <w:t xml:space="preserve"> </w:t>
      </w:r>
      <w:r w:rsidRPr="00D33020">
        <w:rPr>
          <w:rFonts w:ascii="Arial" w:hAnsi="Arial" w:cs="Arial"/>
          <w:sz w:val="20"/>
          <w:szCs w:val="20"/>
          <w:lang w:val="pt-PT"/>
        </w:rPr>
        <w:t xml:space="preserve">de nova capacidade, incluindo os 626MW adquiridos na semana passada, elevando a capacidade renovável total instalada para </w:t>
      </w:r>
      <w:r w:rsidR="003827C9" w:rsidRPr="00C301A6">
        <w:rPr>
          <w:rFonts w:ascii="Arial" w:hAnsi="Arial" w:cs="Arial"/>
          <w:sz w:val="20"/>
          <w:szCs w:val="20"/>
          <w:lang w:val="pt-PT"/>
        </w:rPr>
        <w:t>13,1GW</w:t>
      </w:r>
      <w:r w:rsidRPr="00D33020">
        <w:rPr>
          <w:rFonts w:ascii="Arial" w:hAnsi="Arial" w:cs="Arial"/>
          <w:sz w:val="20"/>
          <w:szCs w:val="20"/>
          <w:lang w:val="pt-PT"/>
        </w:rPr>
        <w:t xml:space="preserve"> até 2027. </w:t>
      </w:r>
    </w:p>
    <w:p w14:paraId="0662E32F" w14:textId="77777777" w:rsidR="00D33020" w:rsidRPr="00D33020" w:rsidRDefault="00D33020" w:rsidP="00D33020">
      <w:pPr>
        <w:jc w:val="both"/>
        <w:rPr>
          <w:rFonts w:ascii="Arial" w:hAnsi="Arial" w:cs="Arial"/>
          <w:sz w:val="20"/>
          <w:szCs w:val="20"/>
          <w:lang w:val="pt-PT"/>
        </w:rPr>
      </w:pPr>
    </w:p>
    <w:p w14:paraId="1AB22E0F" w14:textId="130E65C1" w:rsidR="00D33020" w:rsidRPr="00D33020" w:rsidRDefault="00D33020" w:rsidP="00D33020">
      <w:pPr>
        <w:jc w:val="both"/>
        <w:rPr>
          <w:rFonts w:ascii="Arial" w:hAnsi="Arial" w:cs="Arial"/>
          <w:sz w:val="20"/>
          <w:szCs w:val="20"/>
          <w:lang w:val="pt-PT"/>
        </w:rPr>
      </w:pPr>
      <w:r w:rsidRPr="00D33020">
        <w:rPr>
          <w:rFonts w:ascii="Arial" w:hAnsi="Arial" w:cs="Arial"/>
          <w:sz w:val="20"/>
          <w:szCs w:val="20"/>
          <w:lang w:val="pt-PT"/>
        </w:rPr>
        <w:t xml:space="preserve">É igualmente de salientar o compromisso de repotenciação, tanto a nível eólico como hídrico, que aumentará a eficiência destas centrais e reduzirá os custos de produção. </w:t>
      </w:r>
      <w:r w:rsidR="005B1369" w:rsidRPr="00D33020">
        <w:rPr>
          <w:rFonts w:ascii="Arial" w:hAnsi="Arial" w:cs="Arial"/>
          <w:sz w:val="20"/>
          <w:szCs w:val="20"/>
          <w:lang w:val="pt-PT"/>
        </w:rPr>
        <w:t>Projetos</w:t>
      </w:r>
      <w:r w:rsidRPr="00D33020">
        <w:rPr>
          <w:rFonts w:ascii="Arial" w:hAnsi="Arial" w:cs="Arial"/>
          <w:sz w:val="20"/>
          <w:szCs w:val="20"/>
          <w:lang w:val="pt-PT"/>
        </w:rPr>
        <w:t xml:space="preserve"> como o parque eólico de Aldeavieja (Ávila) e a barragem de Bárcena (Ponferrada), entre outros, já estão em curso.</w:t>
      </w:r>
    </w:p>
    <w:p w14:paraId="409DC0D4" w14:textId="77777777" w:rsidR="00D33020" w:rsidRPr="00D33020" w:rsidRDefault="00D33020" w:rsidP="00D33020">
      <w:pPr>
        <w:jc w:val="both"/>
        <w:rPr>
          <w:rFonts w:ascii="Arial" w:hAnsi="Arial" w:cs="Arial"/>
          <w:sz w:val="20"/>
          <w:szCs w:val="20"/>
          <w:lang w:val="pt-PT"/>
        </w:rPr>
      </w:pPr>
    </w:p>
    <w:p w14:paraId="7EFB5483" w14:textId="71B0AE78" w:rsidR="00D33020" w:rsidRPr="00D33020" w:rsidRDefault="00D33020" w:rsidP="00D33020">
      <w:pPr>
        <w:jc w:val="both"/>
        <w:rPr>
          <w:rFonts w:ascii="Arial" w:hAnsi="Arial" w:cs="Arial"/>
          <w:sz w:val="20"/>
          <w:szCs w:val="20"/>
          <w:lang w:val="pt-PT"/>
        </w:rPr>
      </w:pPr>
      <w:r w:rsidRPr="00D33020">
        <w:rPr>
          <w:rFonts w:ascii="Arial" w:hAnsi="Arial" w:cs="Arial"/>
          <w:sz w:val="20"/>
          <w:szCs w:val="20"/>
          <w:lang w:val="pt-PT"/>
        </w:rPr>
        <w:t xml:space="preserve">A Endesa continuará também a aplicar uma política </w:t>
      </w:r>
      <w:r w:rsidR="005B1369" w:rsidRPr="00D33020">
        <w:rPr>
          <w:rFonts w:ascii="Arial" w:hAnsi="Arial" w:cs="Arial"/>
          <w:sz w:val="20"/>
          <w:szCs w:val="20"/>
          <w:lang w:val="pt-PT"/>
        </w:rPr>
        <w:t>seletiva</w:t>
      </w:r>
      <w:r w:rsidRPr="00D33020">
        <w:rPr>
          <w:rFonts w:ascii="Arial" w:hAnsi="Arial" w:cs="Arial"/>
          <w:sz w:val="20"/>
          <w:szCs w:val="20"/>
          <w:lang w:val="pt-PT"/>
        </w:rPr>
        <w:t xml:space="preserve"> no investimento em </w:t>
      </w:r>
      <w:r w:rsidR="005B1369" w:rsidRPr="00D33020">
        <w:rPr>
          <w:rFonts w:ascii="Arial" w:hAnsi="Arial" w:cs="Arial"/>
          <w:sz w:val="20"/>
          <w:szCs w:val="20"/>
          <w:lang w:val="pt-PT"/>
        </w:rPr>
        <w:t>ativos</w:t>
      </w:r>
      <w:r w:rsidRPr="00D33020">
        <w:rPr>
          <w:rFonts w:ascii="Arial" w:hAnsi="Arial" w:cs="Arial"/>
          <w:sz w:val="20"/>
          <w:szCs w:val="20"/>
          <w:lang w:val="pt-PT"/>
        </w:rPr>
        <w:t xml:space="preserve"> renováveis e manterá o modelo de partilha destes novos </w:t>
      </w:r>
      <w:r w:rsidR="005B1369" w:rsidRPr="00D33020">
        <w:rPr>
          <w:rFonts w:ascii="Arial" w:hAnsi="Arial" w:cs="Arial"/>
          <w:sz w:val="20"/>
          <w:szCs w:val="20"/>
          <w:lang w:val="pt-PT"/>
        </w:rPr>
        <w:t>projetos</w:t>
      </w:r>
      <w:r w:rsidRPr="00D33020">
        <w:rPr>
          <w:rFonts w:ascii="Arial" w:hAnsi="Arial" w:cs="Arial"/>
          <w:sz w:val="20"/>
          <w:szCs w:val="20"/>
          <w:lang w:val="pt-PT"/>
        </w:rPr>
        <w:t xml:space="preserve"> com parceiros. Foi o que aconteceu este ano com a </w:t>
      </w:r>
      <w:r>
        <w:rPr>
          <w:rFonts w:ascii="Arial" w:hAnsi="Arial" w:cs="Arial"/>
          <w:sz w:val="20"/>
          <w:szCs w:val="20"/>
          <w:lang w:val="pt-PT"/>
        </w:rPr>
        <w:t>“</w:t>
      </w:r>
      <w:r w:rsidRPr="00D33020">
        <w:rPr>
          <w:rFonts w:ascii="Arial" w:hAnsi="Arial" w:cs="Arial"/>
          <w:sz w:val="20"/>
          <w:szCs w:val="20"/>
          <w:lang w:val="pt-PT"/>
        </w:rPr>
        <w:t>operação Ra</w:t>
      </w:r>
      <w:r>
        <w:rPr>
          <w:rFonts w:ascii="Arial" w:hAnsi="Arial" w:cs="Arial"/>
          <w:sz w:val="20"/>
          <w:szCs w:val="20"/>
          <w:lang w:val="pt-PT"/>
        </w:rPr>
        <w:t>”</w:t>
      </w:r>
      <w:r w:rsidRPr="00D33020">
        <w:rPr>
          <w:rFonts w:ascii="Arial" w:hAnsi="Arial" w:cs="Arial"/>
          <w:sz w:val="20"/>
          <w:szCs w:val="20"/>
          <w:lang w:val="pt-PT"/>
        </w:rPr>
        <w:t>, que se prevê que seja concluída antes do final de 2024.</w:t>
      </w:r>
    </w:p>
    <w:p w14:paraId="0AE61B15" w14:textId="77777777" w:rsidR="00D33020" w:rsidRPr="00D33020" w:rsidRDefault="00D33020" w:rsidP="00D33020">
      <w:pPr>
        <w:jc w:val="both"/>
        <w:rPr>
          <w:rFonts w:ascii="Arial" w:hAnsi="Arial" w:cs="Arial"/>
          <w:sz w:val="20"/>
          <w:szCs w:val="20"/>
          <w:lang w:val="pt-PT"/>
        </w:rPr>
      </w:pPr>
    </w:p>
    <w:p w14:paraId="4BCC133A" w14:textId="38A9A0EA" w:rsidR="00F86852" w:rsidRPr="00D33020" w:rsidRDefault="00D33020" w:rsidP="00D33020">
      <w:pPr>
        <w:jc w:val="both"/>
        <w:rPr>
          <w:rFonts w:ascii="Arial" w:hAnsi="Arial" w:cs="Arial"/>
          <w:sz w:val="20"/>
          <w:szCs w:val="20"/>
          <w:lang w:val="pt-PT"/>
        </w:rPr>
      </w:pPr>
      <w:r w:rsidRPr="00D33020">
        <w:rPr>
          <w:rFonts w:ascii="Arial" w:hAnsi="Arial" w:cs="Arial"/>
          <w:sz w:val="20"/>
          <w:szCs w:val="20"/>
          <w:lang w:val="pt-PT"/>
        </w:rPr>
        <w:t>A Endesa também investirá 1.000 milhões de euros (10% do total) em geração convencional (“ciclo combinado” a gás) e nuclear durante o período do plano.</w:t>
      </w:r>
    </w:p>
    <w:p w14:paraId="14E14687" w14:textId="77777777" w:rsidR="00150405" w:rsidRPr="00D33020" w:rsidRDefault="00150405" w:rsidP="00182934">
      <w:pPr>
        <w:rPr>
          <w:rFonts w:ascii="Arial" w:hAnsi="Arial" w:cs="Arial"/>
          <w:sz w:val="20"/>
          <w:szCs w:val="20"/>
          <w:lang w:val="pt-PT"/>
        </w:rPr>
      </w:pPr>
    </w:p>
    <w:p w14:paraId="04152D66" w14:textId="77777777" w:rsidR="0062453B" w:rsidRPr="0062453B" w:rsidRDefault="0062453B" w:rsidP="0062453B">
      <w:pPr>
        <w:rPr>
          <w:rFonts w:ascii="Arial" w:hAnsi="Arial" w:cs="Arial"/>
          <w:b/>
          <w:bCs/>
          <w:sz w:val="20"/>
          <w:szCs w:val="20"/>
          <w:lang w:val="pt-PT"/>
        </w:rPr>
      </w:pPr>
      <w:r w:rsidRPr="0062453B">
        <w:rPr>
          <w:rFonts w:ascii="Arial" w:hAnsi="Arial" w:cs="Arial"/>
          <w:b/>
          <w:bCs/>
          <w:sz w:val="20"/>
          <w:szCs w:val="20"/>
          <w:lang w:val="pt-PT"/>
        </w:rPr>
        <w:t>Recuperação da base de clientes</w:t>
      </w:r>
    </w:p>
    <w:p w14:paraId="3B7B5875" w14:textId="77777777" w:rsidR="0062453B" w:rsidRPr="0062453B" w:rsidRDefault="0062453B" w:rsidP="0062453B">
      <w:pPr>
        <w:rPr>
          <w:rFonts w:ascii="Arial" w:hAnsi="Arial" w:cs="Arial"/>
          <w:sz w:val="20"/>
          <w:szCs w:val="20"/>
          <w:lang w:val="pt-PT"/>
        </w:rPr>
      </w:pPr>
    </w:p>
    <w:p w14:paraId="05FD4608" w14:textId="474A5493" w:rsidR="0062453B" w:rsidRPr="0062453B" w:rsidRDefault="0062453B" w:rsidP="0062453B">
      <w:pPr>
        <w:rPr>
          <w:rFonts w:ascii="Arial" w:hAnsi="Arial" w:cs="Arial"/>
          <w:sz w:val="20"/>
          <w:szCs w:val="20"/>
          <w:lang w:val="pt-PT"/>
        </w:rPr>
      </w:pPr>
      <w:r w:rsidRPr="0062453B">
        <w:rPr>
          <w:rFonts w:ascii="Arial" w:hAnsi="Arial" w:cs="Arial"/>
          <w:sz w:val="20"/>
          <w:szCs w:val="20"/>
          <w:lang w:val="pt-PT"/>
        </w:rPr>
        <w:t xml:space="preserve">A atividade de comercialização de energia e de serviços de valor acrescentado absorverá mais 900 milhões de euros nos próximos três anos. O objetivo é recuperar o crescimento da base de clientes para terminar 2027 em 7,1 milhões no mercado livre, mais 6% do que os </w:t>
      </w:r>
      <w:r w:rsidR="00E57491" w:rsidRPr="0062453B">
        <w:rPr>
          <w:rFonts w:ascii="Arial" w:hAnsi="Arial" w:cs="Arial"/>
          <w:sz w:val="20"/>
          <w:szCs w:val="20"/>
          <w:lang w:val="pt-PT"/>
        </w:rPr>
        <w:t>atuais</w:t>
      </w:r>
      <w:r w:rsidRPr="0062453B">
        <w:rPr>
          <w:rFonts w:ascii="Arial" w:hAnsi="Arial" w:cs="Arial"/>
          <w:sz w:val="20"/>
          <w:szCs w:val="20"/>
          <w:lang w:val="pt-PT"/>
        </w:rPr>
        <w:t xml:space="preserve"> 6,7 milhões. </w:t>
      </w:r>
    </w:p>
    <w:p w14:paraId="60745AAD" w14:textId="77777777" w:rsidR="0062453B" w:rsidRPr="0062453B" w:rsidRDefault="0062453B" w:rsidP="0062453B">
      <w:pPr>
        <w:rPr>
          <w:rFonts w:ascii="Arial" w:hAnsi="Arial" w:cs="Arial"/>
          <w:sz w:val="20"/>
          <w:szCs w:val="20"/>
          <w:lang w:val="pt-PT"/>
        </w:rPr>
      </w:pPr>
    </w:p>
    <w:p w14:paraId="6AC77A68" w14:textId="3B417029" w:rsidR="0062453B" w:rsidRDefault="0062453B" w:rsidP="0062453B">
      <w:pPr>
        <w:rPr>
          <w:rFonts w:ascii="Arial" w:hAnsi="Arial" w:cs="Arial"/>
          <w:sz w:val="20"/>
          <w:szCs w:val="20"/>
          <w:lang w:val="pt-PT"/>
        </w:rPr>
      </w:pPr>
      <w:r w:rsidRPr="0062453B">
        <w:rPr>
          <w:rFonts w:ascii="Arial" w:hAnsi="Arial" w:cs="Arial"/>
          <w:sz w:val="20"/>
          <w:szCs w:val="20"/>
          <w:lang w:val="pt-PT"/>
        </w:rPr>
        <w:t xml:space="preserve">As vendas de eletricidade </w:t>
      </w:r>
      <w:r w:rsidR="00C301A6">
        <w:rPr>
          <w:rFonts w:ascii="Arial" w:hAnsi="Arial" w:cs="Arial"/>
          <w:sz w:val="20"/>
          <w:szCs w:val="20"/>
          <w:lang w:val="pt-PT"/>
        </w:rPr>
        <w:t>ficarão estáveis durante o período para 84TWh, com uma</w:t>
      </w:r>
      <w:r w:rsidRPr="0062453B">
        <w:rPr>
          <w:rFonts w:ascii="Arial" w:hAnsi="Arial" w:cs="Arial"/>
          <w:sz w:val="20"/>
          <w:szCs w:val="20"/>
          <w:lang w:val="pt-PT"/>
        </w:rPr>
        <w:t xml:space="preserve"> reorientação estratégica das vendas a preço fixo (principalmente para o segmento residencial) em detrimento das vendas a preços indexados à pool. </w:t>
      </w:r>
    </w:p>
    <w:p w14:paraId="71E11B09" w14:textId="77777777" w:rsidR="00C301A6" w:rsidRPr="005D7AB5" w:rsidRDefault="00C301A6" w:rsidP="0062453B">
      <w:pPr>
        <w:rPr>
          <w:rFonts w:ascii="Arial" w:hAnsi="Arial" w:cs="Arial"/>
          <w:sz w:val="20"/>
          <w:szCs w:val="20"/>
          <w:lang w:val="pt-PT"/>
        </w:rPr>
      </w:pPr>
    </w:p>
    <w:p w14:paraId="01AFE6A4" w14:textId="77777777" w:rsidR="0062453B" w:rsidRPr="005D7AB5" w:rsidRDefault="0062453B" w:rsidP="0062453B">
      <w:pPr>
        <w:rPr>
          <w:rFonts w:ascii="Arial" w:hAnsi="Arial" w:cs="Arial"/>
          <w:sz w:val="20"/>
          <w:szCs w:val="20"/>
          <w:lang w:val="pt-PT"/>
        </w:rPr>
      </w:pPr>
    </w:p>
    <w:p w14:paraId="542FC29F" w14:textId="77777777" w:rsidR="0062453B" w:rsidRPr="0062453B" w:rsidRDefault="0062453B" w:rsidP="0062453B">
      <w:pPr>
        <w:rPr>
          <w:rFonts w:ascii="Arial" w:hAnsi="Arial" w:cs="Arial"/>
          <w:sz w:val="20"/>
          <w:szCs w:val="20"/>
          <w:lang w:val="pt-PT"/>
        </w:rPr>
      </w:pPr>
      <w:r w:rsidRPr="0062453B">
        <w:rPr>
          <w:rFonts w:ascii="Arial" w:hAnsi="Arial" w:cs="Arial"/>
          <w:sz w:val="20"/>
          <w:szCs w:val="20"/>
          <w:lang w:val="pt-PT"/>
        </w:rPr>
        <w:t>A estratégia de focalização nos clientes, incentivando a eletrificação das suas utilizações energéticas, incidirá sobre os de maior valor para a empresa, promovendo a sua permanência a longo prazo. Apostar-se-á no reforço dos canais comerciais, potenciando a sua digitalização, e na oferta de serviços de elevado valor, adaptados às necessidades cada vez mais sofisticadas decorrentes da transição energética.</w:t>
      </w:r>
    </w:p>
    <w:p w14:paraId="7CB1A2FB" w14:textId="77777777" w:rsidR="00EC4604" w:rsidRPr="0062453B" w:rsidRDefault="00EC4604" w:rsidP="00182934">
      <w:pPr>
        <w:rPr>
          <w:rFonts w:ascii="Arial" w:hAnsi="Arial" w:cs="Arial"/>
          <w:b/>
          <w:bCs/>
          <w:sz w:val="20"/>
          <w:szCs w:val="20"/>
          <w:lang w:val="pt-PT"/>
        </w:rPr>
      </w:pPr>
    </w:p>
    <w:p w14:paraId="52AE92A3" w14:textId="77777777" w:rsidR="0062453B" w:rsidRPr="0062453B" w:rsidRDefault="0062453B" w:rsidP="0062453B">
      <w:pPr>
        <w:rPr>
          <w:rFonts w:ascii="Arial" w:hAnsi="Arial" w:cs="Arial"/>
          <w:b/>
          <w:bCs/>
          <w:sz w:val="20"/>
          <w:szCs w:val="20"/>
          <w:lang w:val="pt-PT"/>
        </w:rPr>
      </w:pPr>
      <w:r w:rsidRPr="0062453B">
        <w:rPr>
          <w:rFonts w:ascii="Arial" w:hAnsi="Arial" w:cs="Arial"/>
          <w:b/>
          <w:bCs/>
          <w:sz w:val="20"/>
          <w:szCs w:val="20"/>
          <w:lang w:val="pt-PT"/>
        </w:rPr>
        <w:t>Reafirmação do objetivo Net Zero para 2040</w:t>
      </w:r>
    </w:p>
    <w:p w14:paraId="0E3C607E" w14:textId="77777777" w:rsidR="0062453B" w:rsidRPr="0062453B" w:rsidRDefault="0062453B" w:rsidP="0062453B">
      <w:pPr>
        <w:rPr>
          <w:rFonts w:ascii="Arial" w:hAnsi="Arial" w:cs="Arial"/>
          <w:b/>
          <w:bCs/>
          <w:sz w:val="20"/>
          <w:szCs w:val="20"/>
          <w:lang w:val="pt-PT"/>
        </w:rPr>
      </w:pPr>
    </w:p>
    <w:p w14:paraId="3D4E7D1E" w14:textId="77777777" w:rsidR="0062453B" w:rsidRPr="0062453B" w:rsidRDefault="0062453B" w:rsidP="0062453B">
      <w:pPr>
        <w:rPr>
          <w:rFonts w:ascii="Arial" w:hAnsi="Arial" w:cs="Arial"/>
          <w:sz w:val="20"/>
          <w:szCs w:val="20"/>
          <w:lang w:val="pt-PT"/>
        </w:rPr>
      </w:pPr>
      <w:r w:rsidRPr="0062453B">
        <w:rPr>
          <w:rFonts w:ascii="Arial" w:hAnsi="Arial" w:cs="Arial"/>
          <w:sz w:val="20"/>
          <w:szCs w:val="20"/>
          <w:lang w:val="pt-PT"/>
        </w:rPr>
        <w:t xml:space="preserve">Esta revisão da estratégia nos três principais pilares do negócio é acompanhada, de forma transversal, por uma reafirmação da trajetória de sustentabilidade ambiental da Endesa. O objetivo de alcançar emissões líquidas nulas (Net Zero) até 2040, através da produção e venda de energia 100% renovável, acompanhado pela saída do negócio de retalho de gás à medida que os clientes mudam para a eletrificação, mantém-se. </w:t>
      </w:r>
    </w:p>
    <w:p w14:paraId="0722BC59" w14:textId="77777777" w:rsidR="0062453B" w:rsidRPr="0062453B" w:rsidRDefault="0062453B" w:rsidP="0062453B">
      <w:pPr>
        <w:rPr>
          <w:rFonts w:ascii="Arial" w:hAnsi="Arial" w:cs="Arial"/>
          <w:sz w:val="20"/>
          <w:szCs w:val="20"/>
          <w:lang w:val="pt-PT"/>
        </w:rPr>
      </w:pPr>
    </w:p>
    <w:p w14:paraId="5AA04AA4" w14:textId="0DCAAAA7" w:rsidR="0062453B" w:rsidRPr="0062453B" w:rsidRDefault="0062453B" w:rsidP="0062453B">
      <w:pPr>
        <w:rPr>
          <w:rFonts w:ascii="Arial" w:hAnsi="Arial" w:cs="Arial"/>
          <w:sz w:val="20"/>
          <w:szCs w:val="20"/>
          <w:lang w:val="pt-PT"/>
        </w:rPr>
      </w:pPr>
      <w:r w:rsidRPr="0062453B">
        <w:rPr>
          <w:rFonts w:ascii="Arial" w:hAnsi="Arial" w:cs="Arial"/>
          <w:sz w:val="20"/>
          <w:szCs w:val="20"/>
          <w:lang w:val="pt-PT"/>
        </w:rPr>
        <w:t>As emissões de CO2 da Endesa terão sido reduzidas em 65% até ao final de 2024, em comparação com o ano base de 2017. Esta percentagem será de 74% em 2030. A última central a</w:t>
      </w:r>
      <w:r w:rsidRPr="0062453B">
        <w:rPr>
          <w:rFonts w:ascii="Arial" w:hAnsi="Arial" w:cs="Arial"/>
          <w:b/>
          <w:bCs/>
          <w:sz w:val="20"/>
          <w:szCs w:val="20"/>
          <w:lang w:val="pt-PT"/>
        </w:rPr>
        <w:t xml:space="preserve"> </w:t>
      </w:r>
      <w:r w:rsidRPr="0062453B">
        <w:rPr>
          <w:rFonts w:ascii="Arial" w:hAnsi="Arial" w:cs="Arial"/>
          <w:sz w:val="20"/>
          <w:szCs w:val="20"/>
          <w:lang w:val="pt-PT"/>
        </w:rPr>
        <w:t xml:space="preserve">carvão da empresa nas Ilhas Baleares, que funciona por razões de segurança do abastecimento, irá continuar a encerrar em 2027 se forem obtidas as autorizações administrativas necessárias. E o processo de transição justa da empresa continuará a basear-se na formação dos trabalhadores das empresas que serão extintas, a fim de os reintegrar noutras </w:t>
      </w:r>
      <w:r w:rsidR="005B1369" w:rsidRPr="0062453B">
        <w:rPr>
          <w:rFonts w:ascii="Arial" w:hAnsi="Arial" w:cs="Arial"/>
          <w:sz w:val="20"/>
          <w:szCs w:val="20"/>
          <w:lang w:val="pt-PT"/>
        </w:rPr>
        <w:t>atividades</w:t>
      </w:r>
      <w:r w:rsidRPr="0062453B">
        <w:rPr>
          <w:rFonts w:ascii="Arial" w:hAnsi="Arial" w:cs="Arial"/>
          <w:sz w:val="20"/>
          <w:szCs w:val="20"/>
          <w:lang w:val="pt-PT"/>
        </w:rPr>
        <w:t xml:space="preserve"> da empresa.</w:t>
      </w:r>
    </w:p>
    <w:p w14:paraId="525C6B24" w14:textId="77777777" w:rsidR="0062453B" w:rsidRPr="0062453B" w:rsidRDefault="0062453B" w:rsidP="0062453B">
      <w:pPr>
        <w:rPr>
          <w:rFonts w:ascii="Arial" w:hAnsi="Arial" w:cs="Arial"/>
          <w:sz w:val="20"/>
          <w:szCs w:val="20"/>
          <w:lang w:val="pt-PT"/>
        </w:rPr>
      </w:pPr>
    </w:p>
    <w:p w14:paraId="3E871DB1" w14:textId="4DCE1AFC" w:rsidR="0062453B" w:rsidRPr="0062453B" w:rsidRDefault="0062453B" w:rsidP="0062453B">
      <w:pPr>
        <w:rPr>
          <w:rFonts w:ascii="Arial" w:hAnsi="Arial" w:cs="Arial"/>
          <w:sz w:val="20"/>
          <w:szCs w:val="20"/>
          <w:lang w:val="pt-PT"/>
        </w:rPr>
      </w:pPr>
      <w:r w:rsidRPr="0062453B">
        <w:rPr>
          <w:rFonts w:ascii="Arial" w:hAnsi="Arial" w:cs="Arial"/>
          <w:sz w:val="20"/>
          <w:szCs w:val="20"/>
          <w:lang w:val="pt-PT"/>
        </w:rPr>
        <w:lastRenderedPageBreak/>
        <w:t>O roteiro para uma empresa Net Zero em 2040 está alinhado com o Acordo de Paris de 2015, que prevê um aumento da temperatura global não superior a 1,5 graus Celsius acima dos níveis pré-industriais, incluindo a redução das emissões diretas e indiretas.</w:t>
      </w:r>
    </w:p>
    <w:p w14:paraId="66722A3B" w14:textId="77777777" w:rsidR="00EC4604" w:rsidRPr="0062453B" w:rsidRDefault="00EC4604" w:rsidP="00182934">
      <w:pPr>
        <w:rPr>
          <w:rFonts w:ascii="Arial" w:hAnsi="Arial" w:cs="Arial"/>
          <w:b/>
          <w:bCs/>
          <w:sz w:val="20"/>
          <w:szCs w:val="20"/>
          <w:lang w:val="pt-PT"/>
        </w:rPr>
      </w:pPr>
    </w:p>
    <w:p w14:paraId="5F23E0AB" w14:textId="7138BA13" w:rsidR="009C4E4A" w:rsidRPr="009C4E4A" w:rsidRDefault="009C4E4A" w:rsidP="009C4E4A">
      <w:pPr>
        <w:jc w:val="both"/>
        <w:rPr>
          <w:rFonts w:ascii="Arial" w:hAnsi="Arial" w:cs="Arial"/>
          <w:sz w:val="20"/>
          <w:szCs w:val="20"/>
          <w:lang w:val="pt-PT"/>
        </w:rPr>
      </w:pPr>
      <w:r w:rsidRPr="009C4E4A">
        <w:rPr>
          <w:rFonts w:ascii="Arial" w:hAnsi="Arial" w:cs="Arial"/>
          <w:b/>
          <w:bCs/>
          <w:sz w:val="20"/>
          <w:szCs w:val="20"/>
          <w:lang w:val="pt-PT"/>
        </w:rPr>
        <w:t xml:space="preserve">Principais </w:t>
      </w:r>
      <w:r w:rsidR="005B1369" w:rsidRPr="009C4E4A">
        <w:rPr>
          <w:rFonts w:ascii="Arial" w:hAnsi="Arial" w:cs="Arial"/>
          <w:b/>
          <w:bCs/>
          <w:sz w:val="20"/>
          <w:szCs w:val="20"/>
          <w:lang w:val="pt-PT"/>
        </w:rPr>
        <w:t>objetivos</w:t>
      </w:r>
      <w:r w:rsidRPr="009C4E4A">
        <w:rPr>
          <w:rFonts w:ascii="Arial" w:hAnsi="Arial" w:cs="Arial"/>
          <w:b/>
          <w:bCs/>
          <w:sz w:val="20"/>
          <w:szCs w:val="20"/>
          <w:lang w:val="pt-PT"/>
        </w:rPr>
        <w:t xml:space="preserve"> financeiros e atualização dos dividendos</w:t>
      </w:r>
    </w:p>
    <w:p w14:paraId="7E6EEA37" w14:textId="77777777" w:rsidR="009C4E4A" w:rsidRPr="009C4E4A" w:rsidRDefault="009C4E4A" w:rsidP="009C4E4A">
      <w:pPr>
        <w:jc w:val="both"/>
        <w:rPr>
          <w:rFonts w:ascii="Arial" w:hAnsi="Arial" w:cs="Arial"/>
          <w:sz w:val="20"/>
          <w:szCs w:val="20"/>
          <w:lang w:val="pt-PT"/>
        </w:rPr>
      </w:pPr>
    </w:p>
    <w:p w14:paraId="001C47FB" w14:textId="2AEF1D08" w:rsidR="009C4E4A" w:rsidRPr="009C4E4A" w:rsidRDefault="009C4E4A" w:rsidP="009C4E4A">
      <w:pPr>
        <w:jc w:val="both"/>
        <w:rPr>
          <w:rFonts w:ascii="Arial" w:hAnsi="Arial" w:cs="Arial"/>
          <w:sz w:val="20"/>
          <w:szCs w:val="20"/>
          <w:lang w:val="pt-PT"/>
        </w:rPr>
      </w:pPr>
      <w:r w:rsidRPr="009C4E4A">
        <w:rPr>
          <w:rFonts w:ascii="Arial" w:hAnsi="Arial" w:cs="Arial"/>
          <w:sz w:val="20"/>
          <w:szCs w:val="20"/>
          <w:lang w:val="pt-PT"/>
        </w:rPr>
        <w:t xml:space="preserve">Os principais </w:t>
      </w:r>
      <w:r w:rsidR="005B1369" w:rsidRPr="009C4E4A">
        <w:rPr>
          <w:rFonts w:ascii="Arial" w:hAnsi="Arial" w:cs="Arial"/>
          <w:sz w:val="20"/>
          <w:szCs w:val="20"/>
          <w:lang w:val="pt-PT"/>
        </w:rPr>
        <w:t>objetivos</w:t>
      </w:r>
      <w:r w:rsidRPr="009C4E4A">
        <w:rPr>
          <w:rFonts w:ascii="Arial" w:hAnsi="Arial" w:cs="Arial"/>
          <w:sz w:val="20"/>
          <w:szCs w:val="20"/>
          <w:lang w:val="pt-PT"/>
        </w:rPr>
        <w:t xml:space="preserve"> financeiros do plano consistem em alcançar uma taxa de crescimento anual acumulada de 4% do EBITDA (resultado bruto de exploração), para atingir entre 5.600 e 5.900 milhões em 2027. Colocar o resultado líquido ordinário no intervalo de 2.000-2.200 milhões no final do período, o que significa uma taxa de crescimento anual acumulada de 7%. E fazer com que a dívida líquida se situe entre 10.000 e 11.000 milhões, um aumento de 10% devido ao aumento dos investimentos e dos pagamentos de dividendos, que será compensado pela solidez do cash-flow e pela contribuição dos parceiros externos que aderem aos </w:t>
      </w:r>
      <w:r w:rsidR="00E57491" w:rsidRPr="009C4E4A">
        <w:rPr>
          <w:rFonts w:ascii="Arial" w:hAnsi="Arial" w:cs="Arial"/>
          <w:sz w:val="20"/>
          <w:szCs w:val="20"/>
          <w:lang w:val="pt-PT"/>
        </w:rPr>
        <w:t>projetos</w:t>
      </w:r>
      <w:r w:rsidRPr="009C4E4A">
        <w:rPr>
          <w:rFonts w:ascii="Arial" w:hAnsi="Arial" w:cs="Arial"/>
          <w:sz w:val="20"/>
          <w:szCs w:val="20"/>
          <w:lang w:val="pt-PT"/>
        </w:rPr>
        <w:t xml:space="preserve"> renováveis.</w:t>
      </w:r>
    </w:p>
    <w:p w14:paraId="58020F5F" w14:textId="77777777" w:rsidR="009C4E4A" w:rsidRPr="009C4E4A" w:rsidRDefault="009C4E4A" w:rsidP="009C4E4A">
      <w:pPr>
        <w:jc w:val="both"/>
        <w:rPr>
          <w:rFonts w:ascii="Arial" w:hAnsi="Arial" w:cs="Arial"/>
          <w:sz w:val="20"/>
          <w:szCs w:val="20"/>
          <w:lang w:val="pt-PT"/>
        </w:rPr>
      </w:pPr>
    </w:p>
    <w:p w14:paraId="62148947" w14:textId="14591FB2" w:rsidR="009C4E4A" w:rsidRPr="009C4E4A" w:rsidRDefault="009C4E4A" w:rsidP="009C4E4A">
      <w:pPr>
        <w:jc w:val="both"/>
        <w:rPr>
          <w:rFonts w:ascii="Arial" w:hAnsi="Arial" w:cs="Arial"/>
          <w:sz w:val="20"/>
          <w:szCs w:val="20"/>
          <w:lang w:val="pt-PT"/>
        </w:rPr>
      </w:pPr>
      <w:r w:rsidRPr="009C4E4A">
        <w:rPr>
          <w:rFonts w:ascii="Arial" w:hAnsi="Arial" w:cs="Arial"/>
          <w:sz w:val="20"/>
          <w:szCs w:val="20"/>
          <w:lang w:val="pt-PT"/>
        </w:rPr>
        <w:t xml:space="preserve">Em relação à política de dividendos, a empresa estende o compromisso de pay-out (percentagem do lucro líquido ordinário destinado à remuneração do acionista) de 70% até 2027, garantindo um mínimo de 1 euro por ação e o pagamento em dinheiro. A Endesa pagará um dividendo de 1,2 euros por ação face aos resultados de 2024, 20% mais do que em 2023 e 9% mais do que a previsão anunciada há um ano. Um primeiro pagamento de 0,5 euros será efetuado a 8 de janeiro. A expetativa é atingir 1,5 euros/ação em 2027. O retorno do dividendo para o conjunto do plano situar-se-á assim entre 6% e 7%. </w:t>
      </w:r>
    </w:p>
    <w:p w14:paraId="1B968636" w14:textId="77777777" w:rsidR="00150405" w:rsidRPr="0062453B" w:rsidRDefault="00150405" w:rsidP="00934387">
      <w:pPr>
        <w:jc w:val="both"/>
        <w:rPr>
          <w:rFonts w:ascii="Arial" w:hAnsi="Arial" w:cs="Arial"/>
          <w:sz w:val="20"/>
          <w:szCs w:val="20"/>
          <w:lang w:val="pt-PT"/>
        </w:rPr>
      </w:pPr>
    </w:p>
    <w:p w14:paraId="57191ADF" w14:textId="2CF3F8A9" w:rsidR="009C4E4A" w:rsidRPr="009C4E4A" w:rsidRDefault="009C4E4A" w:rsidP="009C4E4A">
      <w:pPr>
        <w:jc w:val="both"/>
        <w:rPr>
          <w:rFonts w:ascii="Arial" w:hAnsi="Arial" w:cs="Arial"/>
          <w:sz w:val="20"/>
          <w:szCs w:val="20"/>
          <w:lang w:val="pt-PT"/>
        </w:rPr>
      </w:pPr>
      <w:r w:rsidRPr="009C4E4A">
        <w:rPr>
          <w:rFonts w:ascii="Arial" w:hAnsi="Arial" w:cs="Arial"/>
          <w:sz w:val="20"/>
          <w:szCs w:val="20"/>
          <w:lang w:val="pt-PT"/>
        </w:rPr>
        <w:t xml:space="preserve">Quanto à margem elétrica, esta manter-se-á estável ao longo do período, passando de 55 euros/MWh no final de 2024 para 56 em 2027. Quanto à cobertura das vendas a preço fixo com a produção </w:t>
      </w:r>
      <w:r w:rsidRPr="009C4E4A">
        <w:rPr>
          <w:rFonts w:ascii="Arial" w:hAnsi="Arial" w:cs="Arial"/>
          <w:i/>
          <w:iCs/>
          <w:sz w:val="20"/>
          <w:szCs w:val="20"/>
          <w:lang w:val="pt-PT"/>
        </w:rPr>
        <w:t>infra-marginal</w:t>
      </w:r>
      <w:r w:rsidRPr="009C4E4A">
        <w:rPr>
          <w:rFonts w:ascii="Arial" w:hAnsi="Arial" w:cs="Arial"/>
          <w:sz w:val="20"/>
          <w:szCs w:val="20"/>
          <w:lang w:val="pt-PT"/>
        </w:rPr>
        <w:t xml:space="preserve"> da empresa (nuclear, hidroelétrica e renovável), esta crescerá para 90% no final do plano, contra 80% em 2024, graças ao crescimento do parque de produção renovável.</w:t>
      </w:r>
    </w:p>
    <w:p w14:paraId="7928CC94" w14:textId="77777777" w:rsidR="009C4E4A" w:rsidRPr="009C4E4A" w:rsidRDefault="009C4E4A" w:rsidP="009C4E4A">
      <w:pPr>
        <w:jc w:val="both"/>
        <w:rPr>
          <w:rFonts w:ascii="Arial" w:hAnsi="Arial" w:cs="Arial"/>
          <w:sz w:val="20"/>
          <w:szCs w:val="20"/>
          <w:lang w:val="pt-PT"/>
        </w:rPr>
      </w:pPr>
    </w:p>
    <w:p w14:paraId="3B35888B" w14:textId="2D3D355D" w:rsidR="00F86852" w:rsidRPr="009C4E4A" w:rsidRDefault="009C4E4A" w:rsidP="009C4E4A">
      <w:pPr>
        <w:jc w:val="both"/>
        <w:rPr>
          <w:rFonts w:ascii="Arial" w:hAnsi="Arial" w:cs="Arial"/>
          <w:sz w:val="20"/>
          <w:szCs w:val="20"/>
          <w:lang w:val="pt-PT"/>
        </w:rPr>
      </w:pPr>
      <w:r w:rsidRPr="009C4E4A">
        <w:rPr>
          <w:rFonts w:ascii="Arial" w:hAnsi="Arial" w:cs="Arial"/>
          <w:sz w:val="20"/>
          <w:szCs w:val="20"/>
          <w:lang w:val="pt-PT"/>
        </w:rPr>
        <w:t>Por seu lado, o negócio do gás verá a sua margem unitária crescer de 3 euros/MWh para 6 euros. A base de clientes do mercado livre deverá aumentar 8% para 1,4 milhões. As vendas totais de gás registarão uma diminuição de 34%, na sequência do fim dos contratos com dois fornecedores internacionais, bem como da normalização da utilização das centrais de ciclo combinado e do reequilíbrio do mix de vendas.</w:t>
      </w:r>
    </w:p>
    <w:p w14:paraId="11942D00" w14:textId="77777777" w:rsidR="00617594" w:rsidRPr="009C4E4A" w:rsidRDefault="00617594" w:rsidP="00934387">
      <w:pPr>
        <w:jc w:val="both"/>
        <w:rPr>
          <w:rFonts w:ascii="Arial" w:hAnsi="Arial" w:cs="Arial"/>
          <w:b/>
          <w:bCs/>
          <w:sz w:val="20"/>
          <w:szCs w:val="20"/>
          <w:lang w:val="pt-PT"/>
        </w:rPr>
      </w:pPr>
    </w:p>
    <w:p w14:paraId="656988F8" w14:textId="77777777" w:rsidR="00EE3B75" w:rsidRPr="009C4E4A" w:rsidRDefault="00EE3B75" w:rsidP="00934387">
      <w:pPr>
        <w:jc w:val="both"/>
        <w:rPr>
          <w:rFonts w:ascii="Arial" w:hAnsi="Arial" w:cs="Arial"/>
          <w:sz w:val="20"/>
          <w:szCs w:val="20"/>
          <w:lang w:val="pt-PT"/>
        </w:rPr>
      </w:pPr>
    </w:p>
    <w:p w14:paraId="06BBD3A0" w14:textId="77777777" w:rsidR="00617594" w:rsidRPr="00B9456A" w:rsidRDefault="00617594" w:rsidP="4704008F">
      <w:pPr>
        <w:jc w:val="both"/>
        <w:rPr>
          <w:rFonts w:ascii="Arial" w:eastAsia="Times New Roman" w:hAnsi="Arial" w:cs="Arial"/>
          <w:b/>
          <w:bCs/>
          <w:sz w:val="16"/>
          <w:szCs w:val="16"/>
          <w:lang w:val="pt-PT"/>
        </w:rPr>
      </w:pPr>
    </w:p>
    <w:p w14:paraId="0E30C914" w14:textId="7289335A" w:rsidR="38903F15" w:rsidRPr="00291D1E" w:rsidRDefault="38903F15" w:rsidP="4704008F">
      <w:pPr>
        <w:jc w:val="both"/>
        <w:rPr>
          <w:rFonts w:ascii="Arial" w:eastAsia="Times New Roman" w:hAnsi="Arial" w:cs="Arial"/>
          <w:b/>
          <w:bCs/>
          <w:sz w:val="16"/>
          <w:szCs w:val="16"/>
          <w:lang w:val="pt-PT"/>
        </w:rPr>
      </w:pPr>
      <w:r w:rsidRPr="00291D1E">
        <w:rPr>
          <w:rFonts w:ascii="Arial" w:eastAsia="Times New Roman" w:hAnsi="Arial" w:cs="Arial"/>
          <w:b/>
          <w:bCs/>
          <w:sz w:val="16"/>
          <w:szCs w:val="16"/>
          <w:lang w:val="pt-PT"/>
        </w:rPr>
        <w:t>Sobre Endesa</w:t>
      </w:r>
    </w:p>
    <w:p w14:paraId="0468E846" w14:textId="77777777" w:rsidR="00B9456A" w:rsidRDefault="00B9456A" w:rsidP="00B9456A">
      <w:pPr>
        <w:shd w:val="clear" w:color="auto" w:fill="FFFFFF"/>
        <w:jc w:val="both"/>
        <w:rPr>
          <w:rFonts w:ascii="Arial" w:eastAsia="Calibri" w:hAnsi="Arial" w:cs="Arial"/>
          <w:kern w:val="1"/>
          <w:sz w:val="16"/>
          <w:szCs w:val="16"/>
          <w:lang w:val="pt-PT" w:eastAsia="zh-CN" w:bidi="hi-IN"/>
        </w:rPr>
      </w:pPr>
    </w:p>
    <w:p w14:paraId="7F3A20E7" w14:textId="643FF362" w:rsidR="00B9456A" w:rsidRPr="00B9456A" w:rsidRDefault="00B9456A" w:rsidP="00B9456A">
      <w:pPr>
        <w:shd w:val="clear" w:color="auto" w:fill="FFFFFF"/>
        <w:jc w:val="both"/>
        <w:rPr>
          <w:rFonts w:ascii="Arial" w:eastAsia="Calibri" w:hAnsi="Arial" w:cs="Arial"/>
          <w:kern w:val="1"/>
          <w:sz w:val="16"/>
          <w:szCs w:val="16"/>
          <w:lang w:val="pt-PT" w:eastAsia="zh-CN" w:bidi="hi-IN"/>
        </w:rPr>
      </w:pPr>
      <w:r w:rsidRPr="00B9456A">
        <w:rPr>
          <w:rFonts w:ascii="Arial" w:eastAsia="Calibri" w:hAnsi="Arial" w:cs="Arial"/>
          <w:kern w:val="1"/>
          <w:sz w:val="16"/>
          <w:szCs w:val="16"/>
          <w:lang w:val="pt-PT" w:eastAsia="zh-CN" w:bidi="hi-IN"/>
        </w:rPr>
        <w:t xml:space="preserve">A </w:t>
      </w:r>
      <w:hyperlink r:id="rId12" w:history="1">
        <w:r w:rsidRPr="00B9456A">
          <w:rPr>
            <w:rStyle w:val="Hiperligao"/>
            <w:rFonts w:ascii="Arial" w:eastAsia="Calibri" w:hAnsi="Arial" w:cs="Arial"/>
            <w:kern w:val="1"/>
            <w:sz w:val="16"/>
            <w:szCs w:val="16"/>
            <w:lang w:val="pt-PT" w:eastAsia="zh-CN" w:bidi="hi-IN"/>
          </w:rPr>
          <w:t>Endesa</w:t>
        </w:r>
      </w:hyperlink>
      <w:r w:rsidRPr="00B9456A">
        <w:rPr>
          <w:rFonts w:ascii="Arial" w:eastAsia="Calibri" w:hAnsi="Arial" w:cs="Arial"/>
          <w:kern w:val="1"/>
          <w:sz w:val="16"/>
          <w:szCs w:val="16"/>
          <w:u w:val="single"/>
          <w:lang w:val="pt-PT" w:eastAsia="zh-CN" w:bidi="hi-IN"/>
        </w:rPr>
        <w:t xml:space="preserve"> </w:t>
      </w:r>
      <w:r w:rsidRPr="00B9456A">
        <w:rPr>
          <w:rFonts w:ascii="Arial" w:eastAsia="Calibri" w:hAnsi="Arial" w:cs="Arial"/>
          <w:kern w:val="1"/>
          <w:sz w:val="16"/>
          <w:szCs w:val="16"/>
          <w:lang w:val="pt-PT" w:eastAsia="zh-CN" w:bidi="hi-IN"/>
        </w:rPr>
        <w:t xml:space="preserve">é uma empresa líder no sector da eletricidade em Espanha e a segunda maior em Portugal. É também o segundo maior operador de gás no mercado espanhol. Tem um negócio integrado de produção, distribuição e fornecimento de eletricidade. Também oferece serviços de mobilidade elétrica, onde é um dos principais operadores de pontos de recarga em Espanha. A Endesa está firmemente comprometida com </w:t>
      </w:r>
      <w:hyperlink r:id="rId13" w:history="1">
        <w:r w:rsidRPr="00B9456A">
          <w:rPr>
            <w:rStyle w:val="Hiperligao"/>
            <w:rFonts w:ascii="Arial" w:eastAsia="Calibri" w:hAnsi="Arial" w:cs="Arial"/>
            <w:kern w:val="1"/>
            <w:sz w:val="16"/>
            <w:szCs w:val="16"/>
            <w:lang w:val="pt-PT" w:eastAsia="zh-CN" w:bidi="hi-IN"/>
          </w:rPr>
          <w:t>os ODS das Nações Unidas</w:t>
        </w:r>
      </w:hyperlink>
      <w:r w:rsidRPr="00B9456A">
        <w:rPr>
          <w:rFonts w:ascii="Arial" w:eastAsia="Calibri" w:hAnsi="Arial" w:cs="Arial"/>
          <w:kern w:val="1"/>
          <w:sz w:val="16"/>
          <w:szCs w:val="16"/>
          <w:u w:val="single"/>
          <w:lang w:val="pt-PT" w:eastAsia="zh-CN" w:bidi="hi-IN"/>
        </w:rPr>
        <w:t xml:space="preserve"> </w:t>
      </w:r>
      <w:r w:rsidRPr="00B9456A">
        <w:rPr>
          <w:rFonts w:ascii="Arial" w:eastAsia="Calibri" w:hAnsi="Arial" w:cs="Arial"/>
          <w:kern w:val="1"/>
          <w:sz w:val="16"/>
          <w:szCs w:val="16"/>
          <w:lang w:val="pt-PT" w:eastAsia="zh-CN" w:bidi="hi-IN"/>
        </w:rPr>
        <w:t xml:space="preserve">e, como tal, está a promover fortemente o desenvolvimento das energias renováveis através da Enel Green Power España, a digitalização das redes através da </w:t>
      </w:r>
      <w:r w:rsidRPr="005B1369">
        <w:rPr>
          <w:rFonts w:ascii="Arial" w:eastAsia="Calibri" w:hAnsi="Arial" w:cs="Arial"/>
          <w:i/>
          <w:iCs/>
          <w:kern w:val="1"/>
          <w:sz w:val="16"/>
          <w:szCs w:val="16"/>
          <w:lang w:val="pt-PT" w:eastAsia="zh-CN" w:bidi="hi-IN"/>
        </w:rPr>
        <w:t>e-distribución</w:t>
      </w:r>
      <w:r w:rsidRPr="00B9456A">
        <w:rPr>
          <w:rFonts w:ascii="Arial" w:eastAsia="Calibri" w:hAnsi="Arial" w:cs="Arial"/>
          <w:kern w:val="1"/>
          <w:sz w:val="16"/>
          <w:szCs w:val="16"/>
          <w:lang w:val="pt-PT" w:eastAsia="zh-CN" w:bidi="hi-IN"/>
        </w:rPr>
        <w:t xml:space="preserve"> e a Responsabilidade Social Corporativa. Também estamos ativos nesta última área desde a </w:t>
      </w:r>
      <w:hyperlink r:id="rId14" w:history="1">
        <w:r w:rsidRPr="00B9456A">
          <w:rPr>
            <w:rStyle w:val="Hiperligao"/>
            <w:rFonts w:ascii="Arial" w:eastAsia="Calibri" w:hAnsi="Arial" w:cs="Arial"/>
            <w:kern w:val="1"/>
            <w:sz w:val="16"/>
            <w:szCs w:val="16"/>
            <w:lang w:val="pt-PT" w:eastAsia="zh-CN" w:bidi="hi-IN"/>
          </w:rPr>
          <w:t>Fundación Endesa</w:t>
        </w:r>
      </w:hyperlink>
      <w:r w:rsidRPr="00B9456A">
        <w:rPr>
          <w:rFonts w:ascii="Arial" w:eastAsia="Calibri" w:hAnsi="Arial" w:cs="Arial"/>
          <w:kern w:val="1"/>
          <w:sz w:val="16"/>
          <w:szCs w:val="16"/>
          <w:lang w:val="pt-PT" w:eastAsia="zh-CN" w:bidi="hi-IN"/>
        </w:rPr>
        <w:t xml:space="preserve">. Contamos com cerca de 9.000 colaboradores. A Endesa faz parte da </w:t>
      </w:r>
      <w:hyperlink r:id="rId15" w:history="1">
        <w:r w:rsidRPr="00B9456A">
          <w:rPr>
            <w:rStyle w:val="Hiperligao"/>
            <w:rFonts w:ascii="Arial" w:eastAsia="Calibri" w:hAnsi="Arial" w:cs="Arial"/>
            <w:kern w:val="1"/>
            <w:sz w:val="16"/>
            <w:szCs w:val="16"/>
            <w:lang w:val="pt-PT" w:eastAsia="zh-CN" w:bidi="hi-IN"/>
          </w:rPr>
          <w:t>Enel</w:t>
        </w:r>
      </w:hyperlink>
      <w:r w:rsidRPr="00B9456A">
        <w:rPr>
          <w:rFonts w:ascii="Arial" w:eastAsia="Calibri" w:hAnsi="Arial" w:cs="Arial"/>
          <w:kern w:val="1"/>
          <w:sz w:val="16"/>
          <w:szCs w:val="16"/>
          <w:lang w:val="pt-PT" w:eastAsia="zh-CN" w:bidi="hi-IN"/>
        </w:rPr>
        <w:t>, o maior grupo de eletricidade da Europa.</w:t>
      </w:r>
    </w:p>
    <w:p w14:paraId="34DC3716" w14:textId="77777777" w:rsidR="00B9456A" w:rsidRPr="00B9456A" w:rsidRDefault="00B9456A" w:rsidP="4704008F">
      <w:pPr>
        <w:jc w:val="both"/>
        <w:rPr>
          <w:rFonts w:ascii="Arial" w:eastAsia="Times New Roman" w:hAnsi="Arial" w:cs="Arial"/>
          <w:b/>
          <w:bCs/>
          <w:sz w:val="16"/>
          <w:szCs w:val="16"/>
          <w:lang w:val="pt-PT"/>
        </w:rPr>
      </w:pPr>
    </w:p>
    <w:sectPr w:rsidR="00B9456A" w:rsidRPr="00B9456A" w:rsidSect="00874CE1">
      <w:headerReference w:type="even" r:id="rId16"/>
      <w:headerReference w:type="default" r:id="rId17"/>
      <w:footerReference w:type="default" r:id="rId18"/>
      <w:headerReference w:type="first" r:id="rId19"/>
      <w:footerReference w:type="first" r:id="rId20"/>
      <w:pgSz w:w="11900" w:h="16840"/>
      <w:pgMar w:top="2665" w:right="1134" w:bottom="1418" w:left="1418" w:header="1134" w:footer="19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A08B2E" w14:textId="77777777" w:rsidR="000C2E38" w:rsidRDefault="000C2E38" w:rsidP="00717BB2">
      <w:r>
        <w:separator/>
      </w:r>
    </w:p>
  </w:endnote>
  <w:endnote w:type="continuationSeparator" w:id="0">
    <w:p w14:paraId="49C089CA" w14:textId="77777777" w:rsidR="000C2E38" w:rsidRDefault="000C2E38" w:rsidP="00717BB2">
      <w:r>
        <w:continuationSeparator/>
      </w:r>
    </w:p>
  </w:endnote>
  <w:endnote w:type="continuationNotice" w:id="1">
    <w:p w14:paraId="245F73BE" w14:textId="77777777" w:rsidR="000C2E38" w:rsidRDefault="000C2E3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Univers LT Std 45 Light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E21C83" w14:textId="77777777" w:rsidR="00D6653F" w:rsidRPr="0091263A" w:rsidRDefault="00B300B5" w:rsidP="008D4A0D">
    <w:pPr>
      <w:pStyle w:val="Rodap"/>
      <w:ind w:left="284"/>
      <w:jc w:val="right"/>
      <w:rPr>
        <w:rStyle w:val="Nmerodepgina"/>
        <w:rFonts w:ascii="Arial" w:hAnsi="Arial" w:cs="Arial"/>
        <w:sz w:val="20"/>
        <w:szCs w:val="20"/>
      </w:rPr>
    </w:pPr>
    <w:r w:rsidRPr="0091263A">
      <w:rPr>
        <w:rStyle w:val="Nmerodepgina"/>
        <w:rFonts w:ascii="Arial" w:hAnsi="Arial" w:cs="Arial"/>
        <w:sz w:val="20"/>
        <w:szCs w:val="20"/>
      </w:rPr>
      <w:fldChar w:fldCharType="begin"/>
    </w:r>
    <w:r w:rsidR="00D6653F" w:rsidRPr="0091263A">
      <w:rPr>
        <w:rStyle w:val="Nmerodepgina"/>
        <w:rFonts w:ascii="Arial" w:hAnsi="Arial" w:cs="Arial"/>
        <w:sz w:val="20"/>
        <w:szCs w:val="20"/>
      </w:rPr>
      <w:instrText xml:space="preserve"> PAGE </w:instrText>
    </w:r>
    <w:r w:rsidRPr="0091263A">
      <w:rPr>
        <w:rStyle w:val="Nmerodepgina"/>
        <w:rFonts w:ascii="Arial" w:hAnsi="Arial" w:cs="Arial"/>
        <w:sz w:val="20"/>
        <w:szCs w:val="20"/>
      </w:rPr>
      <w:fldChar w:fldCharType="separate"/>
    </w:r>
    <w:r w:rsidR="00A3378C">
      <w:rPr>
        <w:rStyle w:val="Nmerodepgina"/>
        <w:rFonts w:ascii="Arial" w:hAnsi="Arial" w:cs="Arial"/>
        <w:noProof/>
        <w:sz w:val="20"/>
        <w:szCs w:val="20"/>
      </w:rPr>
      <w:t>2</w:t>
    </w:r>
    <w:r w:rsidRPr="0091263A">
      <w:rPr>
        <w:rStyle w:val="Nmerodepgina"/>
        <w:rFonts w:ascii="Arial" w:hAnsi="Arial" w:cs="Arial"/>
        <w:sz w:val="20"/>
        <w:szCs w:val="20"/>
      </w:rPr>
      <w:fldChar w:fldCharType="end"/>
    </w:r>
  </w:p>
  <w:p w14:paraId="61829076" w14:textId="77777777" w:rsidR="00D6653F" w:rsidRDefault="00D6653F" w:rsidP="00155B8D">
    <w:pPr>
      <w:pStyle w:val="Rodap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90CB77" w14:textId="77777777" w:rsidR="00D6653F" w:rsidRPr="0091263A" w:rsidRDefault="00B300B5" w:rsidP="005D1B60">
    <w:pPr>
      <w:pStyle w:val="Rodap"/>
      <w:tabs>
        <w:tab w:val="clear" w:pos="8504"/>
        <w:tab w:val="right" w:pos="2835"/>
      </w:tabs>
      <w:jc w:val="right"/>
      <w:rPr>
        <w:rFonts w:ascii="Arial" w:hAnsi="Arial" w:cs="Arial"/>
        <w:sz w:val="20"/>
        <w:szCs w:val="20"/>
      </w:rPr>
    </w:pPr>
    <w:r w:rsidRPr="0091263A">
      <w:rPr>
        <w:rFonts w:ascii="Arial" w:hAnsi="Arial" w:cs="Arial"/>
        <w:sz w:val="20"/>
        <w:szCs w:val="20"/>
      </w:rPr>
      <w:fldChar w:fldCharType="begin"/>
    </w:r>
    <w:r w:rsidR="00D6653F" w:rsidRPr="0091263A">
      <w:rPr>
        <w:rFonts w:ascii="Arial" w:hAnsi="Arial" w:cs="Arial"/>
        <w:sz w:val="20"/>
        <w:szCs w:val="20"/>
      </w:rPr>
      <w:instrText xml:space="preserve"> PAGE </w:instrText>
    </w:r>
    <w:r w:rsidRPr="0091263A">
      <w:rPr>
        <w:rFonts w:ascii="Arial" w:hAnsi="Arial" w:cs="Arial"/>
        <w:sz w:val="20"/>
        <w:szCs w:val="20"/>
      </w:rPr>
      <w:fldChar w:fldCharType="separate"/>
    </w:r>
    <w:r w:rsidR="00E0035B">
      <w:rPr>
        <w:rFonts w:ascii="Arial" w:hAnsi="Arial" w:cs="Arial"/>
        <w:noProof/>
        <w:sz w:val="20"/>
        <w:szCs w:val="20"/>
      </w:rPr>
      <w:t>1</w:t>
    </w:r>
    <w:r w:rsidRPr="0091263A">
      <w:rPr>
        <w:rFonts w:ascii="Arial" w:hAnsi="Arial" w:cs="Arial"/>
        <w:sz w:val="20"/>
        <w:szCs w:val="20"/>
      </w:rPr>
      <w:fldChar w:fldCharType="end"/>
    </w:r>
  </w:p>
  <w:p w14:paraId="61CDCEAD" w14:textId="77777777" w:rsidR="00D6653F" w:rsidRDefault="00D6653F" w:rsidP="008D6CE6">
    <w:pPr>
      <w:pStyle w:val="Rodap"/>
      <w:jc w:val="right"/>
      <w:rPr>
        <w:rStyle w:val="Nmerodepgina"/>
      </w:rPr>
    </w:pPr>
  </w:p>
  <w:p w14:paraId="6BB9E253" w14:textId="77777777" w:rsidR="00D6653F" w:rsidRDefault="00D6653F" w:rsidP="008D6CE6">
    <w:pPr>
      <w:pStyle w:val="Cabealho"/>
      <w:spacing w:line="180" w:lineRule="exact"/>
      <w:rPr>
        <w:rFonts w:ascii="Arial" w:hAnsi="Arial" w:cs="Arial"/>
        <w:b/>
        <w:sz w:val="14"/>
        <w:szCs w:val="14"/>
      </w:rPr>
    </w:pPr>
  </w:p>
  <w:p w14:paraId="23DE523C" w14:textId="77777777" w:rsidR="00D6653F" w:rsidRDefault="00D6653F" w:rsidP="008D6CE6">
    <w:pPr>
      <w:pStyle w:val="Cabealho"/>
      <w:spacing w:line="180" w:lineRule="exact"/>
      <w:rPr>
        <w:rFonts w:ascii="Arial" w:hAnsi="Arial" w:cs="Arial"/>
        <w:b/>
        <w:sz w:val="14"/>
        <w:szCs w:val="14"/>
      </w:rPr>
    </w:pPr>
  </w:p>
  <w:p w14:paraId="52E56223" w14:textId="77777777" w:rsidR="00D6653F" w:rsidRDefault="00D6653F" w:rsidP="008D6CE6">
    <w:pPr>
      <w:pStyle w:val="Cabealho"/>
      <w:spacing w:line="180" w:lineRule="exact"/>
      <w:rPr>
        <w:rFonts w:ascii="Arial" w:hAnsi="Arial" w:cs="Arial"/>
        <w:b/>
        <w:sz w:val="14"/>
        <w:szCs w:val="14"/>
      </w:rPr>
    </w:pPr>
  </w:p>
  <w:p w14:paraId="07547A01" w14:textId="77777777" w:rsidR="00D6653F" w:rsidRDefault="00D6653F" w:rsidP="008D6CE6">
    <w:pPr>
      <w:pStyle w:val="Cabealho"/>
      <w:spacing w:line="180" w:lineRule="exact"/>
      <w:rPr>
        <w:rFonts w:ascii="Arial" w:hAnsi="Arial" w:cs="Arial"/>
        <w:b/>
        <w:sz w:val="14"/>
        <w:szCs w:val="14"/>
      </w:rPr>
    </w:pPr>
  </w:p>
  <w:p w14:paraId="4097FEA0" w14:textId="77777777" w:rsidR="00D6653F" w:rsidRPr="004B38D9" w:rsidRDefault="002C140A" w:rsidP="008D6CE6">
    <w:pPr>
      <w:pStyle w:val="Cabealho"/>
      <w:spacing w:line="180" w:lineRule="exact"/>
      <w:rPr>
        <w:rFonts w:ascii="Arial" w:hAnsi="Arial" w:cs="Arial"/>
        <w:sz w:val="14"/>
        <w:szCs w:val="14"/>
      </w:rPr>
    </w:pPr>
    <w:r>
      <w:rPr>
        <w:rFonts w:ascii="Arial" w:hAnsi="Arial" w:cs="Arial"/>
        <w:b/>
        <w:sz w:val="14"/>
        <w:szCs w:val="14"/>
      </w:rPr>
      <w:t>Endesa</w:t>
    </w:r>
    <w:r w:rsidR="00D6653F" w:rsidRPr="004B38D9">
      <w:rPr>
        <w:rFonts w:ascii="Arial" w:hAnsi="Arial" w:cs="Arial"/>
        <w:b/>
        <w:sz w:val="14"/>
        <w:szCs w:val="14"/>
      </w:rPr>
      <w:t xml:space="preserve"> </w:t>
    </w:r>
    <w:r w:rsidR="008D4A0D">
      <w:rPr>
        <w:rFonts w:ascii="Arial" w:hAnsi="Arial" w:cs="Arial"/>
        <w:b/>
        <w:sz w:val="14"/>
        <w:szCs w:val="14"/>
      </w:rPr>
      <w:t>S.A.</w:t>
    </w:r>
    <w:r>
      <w:rPr>
        <w:rFonts w:ascii="Arial" w:hAnsi="Arial" w:cs="Arial"/>
        <w:b/>
        <w:sz w:val="14"/>
        <w:szCs w:val="14"/>
      </w:rPr>
      <w:t xml:space="preserve"> </w:t>
    </w:r>
    <w:r w:rsidRPr="004B38D9">
      <w:rPr>
        <w:rFonts w:ascii="Arial" w:hAnsi="Arial" w:cs="Arial"/>
        <w:sz w:val="14"/>
        <w:szCs w:val="14"/>
      </w:rPr>
      <w:t xml:space="preserve">– </w:t>
    </w:r>
    <w:r w:rsidRPr="00246130">
      <w:rPr>
        <w:rFonts w:ascii="Arial" w:hAnsi="Arial" w:cs="Arial" w:hint="eastAsia"/>
        <w:sz w:val="14"/>
        <w:szCs w:val="14"/>
      </w:rPr>
      <w:t>Inscrita en el Registro Mercantil de Madrid, Hoja M-</w:t>
    </w:r>
    <w:r w:rsidR="008D4A0D">
      <w:rPr>
        <w:rFonts w:ascii="Arial" w:hAnsi="Arial" w:cs="Arial"/>
        <w:sz w:val="14"/>
        <w:szCs w:val="14"/>
      </w:rPr>
      <w:t>6405 tomo 468, folio 143</w:t>
    </w:r>
    <w:r w:rsidR="005B30A9">
      <w:rPr>
        <w:rFonts w:ascii="Arial" w:hAnsi="Arial" w:cs="Arial"/>
        <w:sz w:val="14"/>
        <w:szCs w:val="14"/>
      </w:rPr>
      <w:t xml:space="preserve">. </w:t>
    </w:r>
    <w:r w:rsidRPr="00246130">
      <w:rPr>
        <w:rFonts w:ascii="Arial" w:hAnsi="Arial" w:cs="Arial"/>
        <w:sz w:val="14"/>
        <w:szCs w:val="14"/>
      </w:rPr>
      <w:t xml:space="preserve">Domicilio social: Calle Ribera del Loira 60 </w:t>
    </w:r>
    <w:r w:rsidRPr="00246130">
      <w:rPr>
        <w:rFonts w:ascii="Arial" w:hAnsi="Arial" w:cs="Arial" w:hint="cs"/>
        <w:sz w:val="14"/>
        <w:szCs w:val="14"/>
      </w:rPr>
      <w:t>–</w:t>
    </w:r>
    <w:r w:rsidRPr="00246130">
      <w:rPr>
        <w:rFonts w:ascii="Arial" w:hAnsi="Arial" w:cs="Arial"/>
        <w:sz w:val="14"/>
        <w:szCs w:val="14"/>
      </w:rPr>
      <w:t xml:space="preserve"> 28042 Madrid </w:t>
    </w:r>
    <w:r w:rsidRPr="00246130">
      <w:rPr>
        <w:rFonts w:ascii="Arial" w:hAnsi="Arial" w:cs="Arial" w:hint="cs"/>
        <w:sz w:val="14"/>
        <w:szCs w:val="14"/>
      </w:rPr>
      <w:t>–</w:t>
    </w:r>
    <w:r w:rsidR="008D4A0D">
      <w:rPr>
        <w:rFonts w:ascii="Arial" w:hAnsi="Arial" w:cs="Arial"/>
        <w:sz w:val="14"/>
        <w:szCs w:val="14"/>
      </w:rPr>
      <w:t xml:space="preserve"> CIF: A-28023430</w:t>
    </w:r>
  </w:p>
  <w:p w14:paraId="5043CB0F" w14:textId="77777777" w:rsidR="00D6653F" w:rsidRDefault="00D6653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92C8E1" w14:textId="77777777" w:rsidR="000C2E38" w:rsidRDefault="000C2E38" w:rsidP="00717BB2">
      <w:r>
        <w:separator/>
      </w:r>
    </w:p>
  </w:footnote>
  <w:footnote w:type="continuationSeparator" w:id="0">
    <w:p w14:paraId="74A5A6FC" w14:textId="77777777" w:rsidR="000C2E38" w:rsidRDefault="000C2E38" w:rsidP="00717BB2">
      <w:r>
        <w:continuationSeparator/>
      </w:r>
    </w:p>
  </w:footnote>
  <w:footnote w:type="continuationNotice" w:id="1">
    <w:p w14:paraId="401B90A7" w14:textId="77777777" w:rsidR="000C2E38" w:rsidRDefault="000C2E3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CE6F91" w14:textId="77777777" w:rsidR="00D6653F" w:rsidRDefault="005D7AB5">
    <w:pPr>
      <w:pStyle w:val="Cabealho"/>
    </w:pPr>
    <w:r>
      <w:rPr>
        <w:noProof/>
        <w:lang w:val="es-ES"/>
      </w:rPr>
      <w:pict w14:anchorId="4C13E1F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8" type="#_x0000_t75" style="position:absolute;margin-left:0;margin-top:0;width:595.15pt;height:841.85pt;z-index:-251656192;mso-wrap-edited:f;mso-position-horizontal:center;mso-position-horizontal-relative:margin;mso-position-vertical:center;mso-position-vertical-relative:margin" wrapcoords="-27 0 -27 21561 21600 21561 21600 0 -27 0">
          <v:imagedata r:id="rId1" o:title="Enel_eng_pressReleaseTemplateWatermark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7DEEAD" w14:textId="5B3BF392" w:rsidR="00D6653F" w:rsidRDefault="000C465D" w:rsidP="0045098A">
    <w:pPr>
      <w:pStyle w:val="Cabealho"/>
      <w:spacing w:line="180" w:lineRule="exact"/>
      <w:rPr>
        <w:rFonts w:ascii="Univers LT Std 45 Light" w:hAnsi="Univers LT Std 45 Light"/>
        <w:sz w:val="14"/>
        <w:szCs w:val="14"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64316550" wp14:editId="25FC0075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56500" cy="252095"/>
              <wp:effectExtent l="0" t="0" r="0" b="14605"/>
              <wp:wrapNone/>
              <wp:docPr id="4" name="Cuadro de texto 4" descr="{&quot;HashCode&quot;:-75512786,&quot;Height&quot;:842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C9C10A4" w14:textId="4FAA48DE" w:rsidR="000C465D" w:rsidRPr="000C465D" w:rsidRDefault="000C465D" w:rsidP="000C465D">
                          <w:pPr>
                            <w:jc w:val="center"/>
                            <w:rPr>
                              <w:rFonts w:ascii="Arial" w:hAnsi="Arial" w:cs="Arial"/>
                              <w:color w:val="000000"/>
                              <w:sz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4316550"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6" type="#_x0000_t202" alt="{&quot;HashCode&quot;:-75512786,&quot;Height&quot;:842.0,&quot;Width&quot;:595.0,&quot;Placement&quot;:&quot;Header&quot;,&quot;Index&quot;:&quot;Primary&quot;,&quot;Section&quot;:1,&quot;Top&quot;:0.0,&quot;Left&quot;:0.0}" style="position:absolute;margin-left:0;margin-top:15pt;width:595pt;height:19.8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KbREwIAACQEAAAOAAAAZHJzL2Uyb0RvYy54bWysU01v2zAMvQ/YfxB0X+xkddYacYqsRYYB&#10;RVsgHXpWZCk2IImapMTOfv0o2UmKbqdhF5kiaX6897S47bUiB+F8C6ai00lOiTAc6tbsKvrjZf3p&#10;mhIfmKmZAiMqehSe3i4/flh0thQzaEDVwhEsYnzZ2Yo2IdgyyzxvhGZ+AlYYDEpwmgW8ul1WO9Zh&#10;da2yWZ7Psw5cbR1w4T1674cgXab6UgoenqT0IhBVUZwtpNOlcxvPbLlg5c4x27R8HIP9wxSatQab&#10;nkvds8DI3rV/lNItd+BBhgkHnYGULRdpB9xmmr/bZtMwK9IuCI63Z5j8/yvLHw8b++xI6L9CjwRG&#10;QDrrS4/OuE8vnY5fnJRgHCE8nmETfSAcnV+KYl7kGOIYmxWz/KaIZbLL39b58E2AJtGoqENaElrs&#10;8ODDkHpKic0MrFulEjXKkK6i889Fnn44R7C4MtjjMmu0Qr/txwW2UB9xLwcD5d7ydYvNH5gPz8wh&#10;xzgv6jY84SEVYBMYLUoacL/+5o/5CD1GKelQMxX1P/fMCUrUd4Ok3EyvrqLI0gUN99a7PXnNXt8B&#10;ynGKL8PyZMbcoE6mdKBfUdar2A1DzHDsWdFwMu/CoGB8FlysVikJ5WRZeDAby2PpCGOE9KV/Zc6O&#10;uAdk7BFOqmLlO/iH3IGA1T6AbBM3EdgBzRFvlGJid3w2Uetv7ynr8riXvwEAAP//AwBQSwMEFAAG&#10;AAgAAAAhAGfXodjbAAAABwEAAA8AAABkcnMvZG93bnJldi54bWxMj8FOwzAMhu9IvEPkSdxYOpBW&#10;WppOCLQLEhLdduGWNaatljhVk7Xl7XFPcLKt3/r8udjNzooRh9B5UrBZJyCQam86ahScjvv7JxAh&#10;ajLaekIFPxhgV97eFDo3fqIKx0NsBEMo5FpBG2OfSxnqFp0Oa98jcfbtB6cjj0MjzaAnhjsrH5Jk&#10;K53uiC+0usfXFuvL4eqYkr29z/Ej/fTBVvtpdF+ntOqVulvNL88gIs7xbxkWfVaHkp3O/komCKuA&#10;H4kKHhOuS7rJlu6sYJulIMtC/vcvfwEAAP//AwBQSwECLQAUAAYACAAAACEAtoM4kv4AAADhAQAA&#10;EwAAAAAAAAAAAAAAAAAAAAAAW0NvbnRlbnRfVHlwZXNdLnhtbFBLAQItABQABgAIAAAAIQA4/SH/&#10;1gAAAJQBAAALAAAAAAAAAAAAAAAAAC8BAABfcmVscy8ucmVsc1BLAQItABQABgAIAAAAIQAGUKbR&#10;EwIAACQEAAAOAAAAAAAAAAAAAAAAAC4CAABkcnMvZTJvRG9jLnhtbFBLAQItABQABgAIAAAAIQBn&#10;16HY2wAAAAcBAAAPAAAAAAAAAAAAAAAAAG0EAABkcnMvZG93bnJldi54bWxQSwUGAAAAAAQABADz&#10;AAAAdQUAAAAA&#10;" o:allowincell="f" filled="f" stroked="f" strokeweight=".5pt">
              <v:textbox inset=",0,,0">
                <w:txbxContent>
                  <w:p w14:paraId="6C9C10A4" w14:textId="4FAA48DE" w:rsidR="000C465D" w:rsidRPr="000C465D" w:rsidRDefault="000C465D" w:rsidP="000C465D">
                    <w:pPr>
                      <w:jc w:val="center"/>
                      <w:rPr>
                        <w:rFonts w:ascii="Arial" w:hAnsi="Arial" w:cs="Arial"/>
                        <w:color w:val="000000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604A4C">
      <w:rPr>
        <w:rFonts w:ascii="Arial" w:hAnsi="Arial" w:cs="Arial"/>
        <w:b/>
        <w:noProof/>
        <w:sz w:val="14"/>
        <w:szCs w:val="14"/>
      </w:rPr>
      <w:drawing>
        <wp:anchor distT="0" distB="0" distL="114300" distR="114300" simplePos="0" relativeHeight="251656192" behindDoc="0" locked="0" layoutInCell="1" allowOverlap="1" wp14:anchorId="6B4ADF98" wp14:editId="07777777">
          <wp:simplePos x="0" y="0"/>
          <wp:positionH relativeFrom="margin">
            <wp:posOffset>0</wp:posOffset>
          </wp:positionH>
          <wp:positionV relativeFrom="margin">
            <wp:posOffset>-1257300</wp:posOffset>
          </wp:positionV>
          <wp:extent cx="2494280" cy="523875"/>
          <wp:effectExtent l="0" t="0" r="0" b="0"/>
          <wp:wrapSquare wrapText="bothSides"/>
          <wp:docPr id="1980867764" name="Imagen 19808677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428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DBF0D7D" w14:textId="77777777" w:rsidR="00D6653F" w:rsidRDefault="000F248F" w:rsidP="000F248F">
    <w:pPr>
      <w:tabs>
        <w:tab w:val="left" w:pos="1105"/>
      </w:tabs>
    </w:pPr>
    <w:r>
      <w:rPr>
        <w:rFonts w:hint="eastAsia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F9C0F5" w14:textId="7CD44FA6" w:rsidR="00D6653F" w:rsidRDefault="000C465D" w:rsidP="00383656">
    <w:pPr>
      <w:pStyle w:val="Cabealho"/>
      <w:tabs>
        <w:tab w:val="clear" w:pos="4252"/>
        <w:tab w:val="clear" w:pos="8504"/>
        <w:tab w:val="left" w:pos="4678"/>
        <w:tab w:val="left" w:pos="6096"/>
      </w:tabs>
      <w:spacing w:line="180" w:lineRule="exact"/>
      <w:rPr>
        <w:rFonts w:ascii="Arial" w:hAnsi="Arial" w:cs="Arial"/>
        <w:b/>
        <w:sz w:val="14"/>
        <w:szCs w:val="14"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9E5BE5D" wp14:editId="78009740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56500" cy="252095"/>
              <wp:effectExtent l="0" t="0" r="0" b="14605"/>
              <wp:wrapNone/>
              <wp:docPr id="5" name="Cuadro de texto 5" descr="{&quot;HashCode&quot;:-75512786,&quot;Height&quot;:842.0,&quot;Width&quot;:595.0,&quot;Placement&quot;:&quot;Head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5A52A65" w14:textId="0D4A051B" w:rsidR="000C465D" w:rsidRPr="000C465D" w:rsidRDefault="000C465D" w:rsidP="000C465D">
                          <w:pPr>
                            <w:jc w:val="center"/>
                            <w:rPr>
                              <w:rFonts w:ascii="Arial" w:hAnsi="Arial" w:cs="Arial"/>
                              <w:color w:val="000000"/>
                              <w:sz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E5BE5D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7" type="#_x0000_t202" alt="{&quot;HashCode&quot;:-75512786,&quot;Height&quot;:842.0,&quot;Width&quot;:595.0,&quot;Placement&quot;:&quot;Header&quot;,&quot;Index&quot;:&quot;FirstPage&quot;,&quot;Section&quot;:1,&quot;Top&quot;:0.0,&quot;Left&quot;:0.0}" style="position:absolute;margin-left:0;margin-top:15pt;width:595pt;height:19.8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7s6FQIAACsEAAAOAAAAZHJzL2Uyb0RvYy54bWysU8tu2zAQvBfoPxC815LdyE0Ey4GbwEUB&#10;IwngFDnTFGkJILksSVtyv75Lyi+kPRW9UMvd1T5mhrP7XiuyF863YCo6HuWUCMOhbs22oj9el59u&#10;KfGBmZopMKKiB+Hp/fzjh1lnSzGBBlQtHMEixpedrWgTgi2zzPNGaOZHYIXBoASnWcCr22a1Yx1W&#10;1yqb5Pk068DV1gEX3qP3cQjSeaovpeDhWUovAlEVxdlCOl06N/HM5jNWbh2zTcuPY7B/mEKz1mDT&#10;c6lHFhjZufaPUrrlDjzIMOKgM5Cy5SLtgNuM83fbrBtmRdoFwfH2DJP/f2X5035tXxwJ/VfokcAI&#10;SGd96dEZ9+ml0/GLkxKMI4SHM2yiD4Sj80tRTIscQxxjk2KS3xWxTHb52zofvgnQJBoVdUhLQovt&#10;Vz4MqaeU2MzAslUqUaMM6So6/Vzk6YdzBIsrgz0us0Yr9JuetPXVHhuoD7ieg4F5b/myxRlWzIcX&#10;5pBqHBvlG57xkAqwFxwtShpwv/7mj/nIAEYp6VA6FfU/d8wJStR3g9zcjW9uotbSBQ137d2cvGan&#10;HwBVOcYHYnkyY25QJ1M60G+o7kXshiFmOPasaDiZD2EQMr4OLhaLlISqsiyszNryWDqiGZF97d+Y&#10;s0f4AxL3BCdxsfIdC0PuwMNiF0C2iaKI74DmEXZUZCL5+Hqi5K/vKevyxue/AQAA//8DAFBLAwQU&#10;AAYACAAAACEAZ9eh2NsAAAAHAQAADwAAAGRycy9kb3ducmV2LnhtbEyPwU7DMAyG70i8Q+RJ3Fg6&#10;kFZamk4ItAsSEt124ZY1pq2WOFWTteXtcU9wsq3f+vy52M3OihGH0HlSsFknIJBqbzpqFJyO+/sn&#10;ECFqMtp6QgU/GGBX3t4UOjd+ogrHQ2wEQyjkWkEbY59LGeoWnQ5r3yNx9u0HpyOPQyPNoCeGOysf&#10;kmQrne6IL7S6x9cW68vh6piSvb3P8SP99MFW+2l0X6e06pW6W80vzyAizvFvGRZ9VoeSnc7+SiYI&#10;q4AfiQoeE65LusmW7qxgm6Ugy0L+9y9/AQAA//8DAFBLAQItABQABgAIAAAAIQC2gziS/gAAAOEB&#10;AAATAAAAAAAAAAAAAAAAAAAAAABbQ29udGVudF9UeXBlc10ueG1sUEsBAi0AFAAGAAgAAAAhADj9&#10;If/WAAAAlAEAAAsAAAAAAAAAAAAAAAAALwEAAF9yZWxzLy5yZWxzUEsBAi0AFAAGAAgAAAAhALLz&#10;uzoVAgAAKwQAAA4AAAAAAAAAAAAAAAAALgIAAGRycy9lMm9Eb2MueG1sUEsBAi0AFAAGAAgAAAAh&#10;AGfXodjbAAAABwEAAA8AAAAAAAAAAAAAAAAAbwQAAGRycy9kb3ducmV2LnhtbFBLBQYAAAAABAAE&#10;APMAAAB3BQAAAAA=&#10;" o:allowincell="f" filled="f" stroked="f" strokeweight=".5pt">
              <v:textbox inset=",0,,0">
                <w:txbxContent>
                  <w:p w14:paraId="35A52A65" w14:textId="0D4A051B" w:rsidR="000C465D" w:rsidRPr="000C465D" w:rsidRDefault="000C465D" w:rsidP="000C465D">
                    <w:pPr>
                      <w:jc w:val="center"/>
                      <w:rPr>
                        <w:rFonts w:ascii="Arial" w:hAnsi="Arial" w:cs="Arial"/>
                        <w:color w:val="000000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604A4C">
      <w:rPr>
        <w:rFonts w:ascii="Arial" w:hAnsi="Arial" w:cs="Arial"/>
        <w:b/>
        <w:noProof/>
        <w:sz w:val="14"/>
        <w:szCs w:val="14"/>
      </w:rPr>
      <w:drawing>
        <wp:anchor distT="0" distB="0" distL="114300" distR="114300" simplePos="0" relativeHeight="251655168" behindDoc="0" locked="0" layoutInCell="1" allowOverlap="1" wp14:anchorId="15DF4A38" wp14:editId="07777777">
          <wp:simplePos x="0" y="0"/>
          <wp:positionH relativeFrom="margin">
            <wp:posOffset>0</wp:posOffset>
          </wp:positionH>
          <wp:positionV relativeFrom="margin">
            <wp:posOffset>-2555875</wp:posOffset>
          </wp:positionV>
          <wp:extent cx="2494280" cy="523875"/>
          <wp:effectExtent l="0" t="0" r="0" b="0"/>
          <wp:wrapSquare wrapText="bothSides"/>
          <wp:docPr id="812422525" name="Imagen 8124225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428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459315" w14:textId="77777777" w:rsidR="00D6653F" w:rsidRDefault="00D6653F" w:rsidP="00383656">
    <w:pPr>
      <w:pStyle w:val="Cabealho"/>
      <w:tabs>
        <w:tab w:val="left" w:pos="4678"/>
      </w:tabs>
      <w:spacing w:line="180" w:lineRule="exact"/>
      <w:ind w:left="5387"/>
      <w:rPr>
        <w:rFonts w:ascii="Arial" w:hAnsi="Arial" w:cs="Arial"/>
        <w:b/>
        <w:sz w:val="14"/>
        <w:szCs w:val="14"/>
      </w:rPr>
    </w:pPr>
  </w:p>
  <w:p w14:paraId="6537F28F" w14:textId="77777777" w:rsidR="00D6653F" w:rsidRDefault="00D6653F" w:rsidP="00383656">
    <w:pPr>
      <w:pStyle w:val="Cabealho"/>
      <w:tabs>
        <w:tab w:val="left" w:pos="4678"/>
      </w:tabs>
      <w:spacing w:line="180" w:lineRule="exact"/>
      <w:ind w:left="5387"/>
      <w:rPr>
        <w:rFonts w:ascii="Arial" w:hAnsi="Arial" w:cs="Arial"/>
        <w:b/>
        <w:sz w:val="14"/>
        <w:szCs w:val="14"/>
      </w:rPr>
    </w:pPr>
  </w:p>
  <w:p w14:paraId="6DFB9E20" w14:textId="77777777" w:rsidR="00D6653F" w:rsidRDefault="00D6653F" w:rsidP="00383656">
    <w:pPr>
      <w:pStyle w:val="Cabealho"/>
      <w:tabs>
        <w:tab w:val="left" w:pos="4678"/>
      </w:tabs>
      <w:spacing w:line="180" w:lineRule="exact"/>
      <w:ind w:left="5387"/>
      <w:rPr>
        <w:rFonts w:ascii="Arial" w:hAnsi="Arial" w:cs="Arial"/>
        <w:b/>
        <w:sz w:val="14"/>
        <w:szCs w:val="14"/>
      </w:rPr>
    </w:pPr>
  </w:p>
  <w:p w14:paraId="70DF9E56" w14:textId="77777777" w:rsidR="00D6653F" w:rsidRDefault="00D6653F" w:rsidP="00383656">
    <w:pPr>
      <w:pStyle w:val="Cabealho"/>
      <w:tabs>
        <w:tab w:val="left" w:pos="4678"/>
      </w:tabs>
      <w:spacing w:line="180" w:lineRule="exact"/>
      <w:ind w:left="5387"/>
      <w:rPr>
        <w:rFonts w:ascii="Arial" w:hAnsi="Arial" w:cs="Arial"/>
        <w:b/>
        <w:sz w:val="14"/>
        <w:szCs w:val="14"/>
      </w:rPr>
    </w:pPr>
  </w:p>
  <w:p w14:paraId="44E871BC" w14:textId="77777777" w:rsidR="00D6653F" w:rsidRDefault="00D6653F" w:rsidP="00383656">
    <w:pPr>
      <w:pStyle w:val="Cabealho"/>
      <w:tabs>
        <w:tab w:val="left" w:pos="4678"/>
      </w:tabs>
      <w:spacing w:line="180" w:lineRule="exact"/>
      <w:ind w:left="5387"/>
      <w:rPr>
        <w:rFonts w:ascii="Arial" w:hAnsi="Arial" w:cs="Arial"/>
        <w:b/>
        <w:sz w:val="14"/>
        <w:szCs w:val="14"/>
      </w:rPr>
    </w:pPr>
  </w:p>
  <w:p w14:paraId="144A5D23" w14:textId="77777777" w:rsidR="00D6653F" w:rsidRDefault="00D6653F" w:rsidP="00383656">
    <w:pPr>
      <w:pStyle w:val="Cabealho"/>
      <w:tabs>
        <w:tab w:val="left" w:pos="4678"/>
      </w:tabs>
      <w:spacing w:line="180" w:lineRule="exact"/>
      <w:ind w:left="5387"/>
      <w:rPr>
        <w:rFonts w:ascii="Arial" w:hAnsi="Arial" w:cs="Arial"/>
        <w:b/>
        <w:sz w:val="14"/>
        <w:szCs w:val="14"/>
      </w:rPr>
    </w:pPr>
  </w:p>
  <w:p w14:paraId="113B9490" w14:textId="77777777" w:rsidR="00D6653F" w:rsidRDefault="00604A4C" w:rsidP="00383656">
    <w:pPr>
      <w:pStyle w:val="Cabealho"/>
      <w:tabs>
        <w:tab w:val="left" w:pos="4678"/>
      </w:tabs>
      <w:spacing w:line="180" w:lineRule="exact"/>
      <w:ind w:left="5387"/>
      <w:rPr>
        <w:rFonts w:ascii="Arial" w:hAnsi="Arial" w:cs="Arial"/>
        <w:b/>
        <w:sz w:val="14"/>
        <w:szCs w:val="14"/>
      </w:rPr>
    </w:pPr>
    <w:r>
      <w:rPr>
        <w:rFonts w:ascii="Arial" w:hAnsi="Arial" w:cs="Arial"/>
        <w:b/>
        <w:noProof/>
        <w:sz w:val="14"/>
        <w:szCs w:val="14"/>
      </w:rPr>
      <w:drawing>
        <wp:anchor distT="0" distB="0" distL="114300" distR="114300" simplePos="0" relativeHeight="251657216" behindDoc="0" locked="0" layoutInCell="1" allowOverlap="1" wp14:anchorId="0333ABEE" wp14:editId="07777777">
          <wp:simplePos x="0" y="0"/>
          <wp:positionH relativeFrom="margin">
            <wp:posOffset>0</wp:posOffset>
          </wp:positionH>
          <wp:positionV relativeFrom="margin">
            <wp:posOffset>-1412875</wp:posOffset>
          </wp:positionV>
          <wp:extent cx="1151890" cy="1334770"/>
          <wp:effectExtent l="0" t="0" r="0" b="0"/>
          <wp:wrapSquare wrapText="bothSides"/>
          <wp:docPr id="1032187923" name="Imagen 10321879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1890" cy="1334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8610EB" w14:textId="77777777" w:rsidR="00D6653F" w:rsidRDefault="00D6653F" w:rsidP="00383656">
    <w:pPr>
      <w:pStyle w:val="Cabealho"/>
      <w:tabs>
        <w:tab w:val="left" w:pos="4678"/>
      </w:tabs>
      <w:spacing w:line="180" w:lineRule="exact"/>
      <w:ind w:left="5387"/>
      <w:rPr>
        <w:rFonts w:ascii="Arial" w:hAnsi="Arial" w:cs="Arial"/>
        <w:b/>
        <w:sz w:val="14"/>
        <w:szCs w:val="14"/>
      </w:rPr>
    </w:pPr>
  </w:p>
  <w:p w14:paraId="79584E1B" w14:textId="615B521C" w:rsidR="00D6653F" w:rsidRPr="004B38D9" w:rsidRDefault="00383656" w:rsidP="005B1369">
    <w:pPr>
      <w:pStyle w:val="Cabealho"/>
      <w:tabs>
        <w:tab w:val="left" w:pos="4678"/>
        <w:tab w:val="left" w:pos="7088"/>
      </w:tabs>
      <w:spacing w:line="180" w:lineRule="exact"/>
      <w:rPr>
        <w:rFonts w:ascii="Arial" w:hAnsi="Arial" w:cs="Arial"/>
        <w:sz w:val="14"/>
        <w:szCs w:val="14"/>
      </w:rPr>
    </w:pPr>
    <w:r>
      <w:rPr>
        <w:rFonts w:ascii="Arial" w:hAnsi="Arial" w:cs="Arial"/>
        <w:b/>
        <w:sz w:val="14"/>
        <w:szCs w:val="14"/>
      </w:rPr>
      <w:tab/>
    </w:r>
    <w:r>
      <w:rPr>
        <w:rFonts w:ascii="Arial" w:hAnsi="Arial" w:cs="Arial"/>
        <w:b/>
        <w:sz w:val="14"/>
        <w:szCs w:val="14"/>
      </w:rPr>
      <w:tab/>
    </w:r>
    <w:r>
      <w:rPr>
        <w:rFonts w:ascii="Arial" w:hAnsi="Arial" w:cs="Arial"/>
        <w:b/>
        <w:noProof/>
        <w:sz w:val="14"/>
        <w:szCs w:val="14"/>
        <w:lang w:val="es-ES"/>
      </w:rPr>
      <w:tab/>
    </w:r>
  </w:p>
  <w:p w14:paraId="3B7B4B86" w14:textId="77777777" w:rsidR="00D6653F" w:rsidRDefault="00D6653F" w:rsidP="00383656">
    <w:pPr>
      <w:pStyle w:val="Cabealho"/>
      <w:tabs>
        <w:tab w:val="clear" w:pos="4252"/>
        <w:tab w:val="left" w:pos="4678"/>
        <w:tab w:val="left" w:pos="7088"/>
      </w:tabs>
      <w:spacing w:line="180" w:lineRule="exact"/>
      <w:ind w:left="4678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ab/>
    </w:r>
  </w:p>
  <w:p w14:paraId="019975A3" w14:textId="77777777" w:rsidR="00D6653F" w:rsidRDefault="00383656" w:rsidP="00383656">
    <w:pPr>
      <w:pStyle w:val="Cabealho"/>
      <w:tabs>
        <w:tab w:val="clear" w:pos="4252"/>
        <w:tab w:val="left" w:pos="4678"/>
        <w:tab w:val="left" w:pos="7088"/>
      </w:tabs>
      <w:spacing w:line="180" w:lineRule="exact"/>
      <w:ind w:left="4678"/>
      <w:rPr>
        <w:rFonts w:ascii="Arial" w:hAnsi="Arial" w:cs="Arial"/>
        <w:b/>
        <w:sz w:val="14"/>
        <w:szCs w:val="14"/>
      </w:rPr>
    </w:pPr>
    <w:r>
      <w:rPr>
        <w:rFonts w:ascii="Arial" w:hAnsi="Arial" w:cs="Arial"/>
        <w:sz w:val="14"/>
        <w:szCs w:val="14"/>
      </w:rPr>
      <w:tab/>
    </w:r>
    <w:r w:rsidR="00E143B5">
      <w:rPr>
        <w:rFonts w:ascii="Arial" w:hAnsi="Arial" w:cs="Arial"/>
        <w:b/>
        <w:sz w:val="14"/>
        <w:szCs w:val="14"/>
      </w:rPr>
      <w:t>endesa</w:t>
    </w:r>
    <w:r w:rsidR="00FB7410" w:rsidRPr="007E44F8">
      <w:rPr>
        <w:rFonts w:ascii="Arial" w:hAnsi="Arial" w:cs="Arial"/>
        <w:b/>
        <w:sz w:val="14"/>
        <w:szCs w:val="14"/>
      </w:rPr>
      <w:t>.com</w:t>
    </w:r>
  </w:p>
  <w:p w14:paraId="32A3F857" w14:textId="5DB36928" w:rsidR="005B1369" w:rsidRDefault="005B1369" w:rsidP="00383656">
    <w:pPr>
      <w:pStyle w:val="Cabealho"/>
      <w:tabs>
        <w:tab w:val="clear" w:pos="4252"/>
        <w:tab w:val="left" w:pos="4678"/>
        <w:tab w:val="left" w:pos="7088"/>
      </w:tabs>
      <w:spacing w:line="180" w:lineRule="exact"/>
      <w:ind w:left="4678"/>
      <w:rPr>
        <w:rFonts w:ascii="Arial" w:hAnsi="Arial" w:cs="Arial"/>
        <w:sz w:val="14"/>
        <w:szCs w:val="14"/>
      </w:rPr>
    </w:pPr>
    <w:r>
      <w:rPr>
        <w:rFonts w:ascii="Arial" w:hAnsi="Arial" w:cs="Arial"/>
        <w:b/>
        <w:sz w:val="14"/>
        <w:szCs w:val="14"/>
      </w:rPr>
      <w:tab/>
      <w:t>endesa.pt</w:t>
    </w:r>
  </w:p>
  <w:p w14:paraId="3A0FF5F2" w14:textId="77777777" w:rsidR="00D6653F" w:rsidRDefault="00D6653F" w:rsidP="00383656">
    <w:pPr>
      <w:pStyle w:val="Cabealho"/>
      <w:tabs>
        <w:tab w:val="clear" w:pos="4252"/>
        <w:tab w:val="left" w:pos="4678"/>
        <w:tab w:val="left" w:pos="7088"/>
      </w:tabs>
      <w:spacing w:line="180" w:lineRule="exact"/>
      <w:ind w:left="4678"/>
      <w:rPr>
        <w:rFonts w:ascii="Arial" w:hAnsi="Arial" w:cs="Arial"/>
        <w:sz w:val="14"/>
        <w:szCs w:val="14"/>
      </w:rPr>
    </w:pPr>
  </w:p>
  <w:p w14:paraId="29D6B04F" w14:textId="77777777" w:rsidR="00D6653F" w:rsidRPr="004B38D9" w:rsidRDefault="00D6653F" w:rsidP="00383656">
    <w:pPr>
      <w:pStyle w:val="Cabealho"/>
      <w:tabs>
        <w:tab w:val="clear" w:pos="4252"/>
        <w:tab w:val="left" w:pos="4678"/>
        <w:tab w:val="left" w:pos="7088"/>
      </w:tabs>
      <w:spacing w:line="180" w:lineRule="exact"/>
      <w:ind w:left="4678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ab/>
    </w:r>
    <w:r w:rsidRPr="004B38D9">
      <w:rPr>
        <w:rFonts w:ascii="Arial" w:hAnsi="Arial" w:cs="Arial"/>
        <w:sz w:val="14"/>
        <w:szCs w:val="14"/>
      </w:rPr>
      <w:t xml:space="preserve"> </w:t>
    </w:r>
  </w:p>
  <w:p w14:paraId="0A6959E7" w14:textId="77777777" w:rsidR="00D6653F" w:rsidRPr="004B38D9" w:rsidRDefault="00D6653F" w:rsidP="00383656">
    <w:pPr>
      <w:pStyle w:val="Cabealho"/>
      <w:tabs>
        <w:tab w:val="clear" w:pos="4252"/>
        <w:tab w:val="left" w:pos="4678"/>
        <w:tab w:val="center" w:pos="7230"/>
      </w:tabs>
      <w:spacing w:line="180" w:lineRule="exact"/>
      <w:ind w:left="3544"/>
      <w:rPr>
        <w:rFonts w:ascii="Arial" w:hAnsi="Arial" w:cs="Arial"/>
        <w:sz w:val="14"/>
        <w:szCs w:val="14"/>
      </w:rPr>
    </w:pPr>
    <w:r w:rsidRPr="004B38D9">
      <w:rPr>
        <w:rFonts w:ascii="Arial" w:hAnsi="Arial" w:cs="Arial"/>
        <w:sz w:val="14"/>
        <w:szCs w:val="14"/>
      </w:rPr>
      <w:t xml:space="preserve"> </w:t>
    </w:r>
  </w:p>
  <w:p w14:paraId="5630AD66" w14:textId="77777777" w:rsidR="00D6653F" w:rsidRDefault="00D6653F" w:rsidP="00383656">
    <w:pPr>
      <w:pStyle w:val="Cabealho"/>
      <w:tabs>
        <w:tab w:val="left" w:pos="467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470D1"/>
    <w:multiLevelType w:val="hybridMultilevel"/>
    <w:tmpl w:val="7E38C2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01730"/>
    <w:multiLevelType w:val="hybridMultilevel"/>
    <w:tmpl w:val="A92446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4C19A1"/>
    <w:multiLevelType w:val="hybridMultilevel"/>
    <w:tmpl w:val="F406327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D05FDF"/>
    <w:multiLevelType w:val="hybridMultilevel"/>
    <w:tmpl w:val="987651E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E87CF1"/>
    <w:multiLevelType w:val="hybridMultilevel"/>
    <w:tmpl w:val="F406327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C8688B"/>
    <w:multiLevelType w:val="hybridMultilevel"/>
    <w:tmpl w:val="CBF070C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9B78B7"/>
    <w:multiLevelType w:val="hybridMultilevel"/>
    <w:tmpl w:val="B3AC7C5A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5413157"/>
    <w:multiLevelType w:val="hybridMultilevel"/>
    <w:tmpl w:val="F6DCE178"/>
    <w:lvl w:ilvl="0" w:tplc="394EE626">
      <w:start w:val="1"/>
      <w:numFmt w:val="bullet"/>
      <w:pStyle w:val="4entradilla"/>
      <w:lvlText w:val=""/>
      <w:lvlJc w:val="left"/>
      <w:pPr>
        <w:tabs>
          <w:tab w:val="num" w:pos="1777"/>
        </w:tabs>
        <w:ind w:left="1777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497"/>
        </w:tabs>
        <w:ind w:left="24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17"/>
        </w:tabs>
        <w:ind w:left="32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37"/>
        </w:tabs>
        <w:ind w:left="39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57"/>
        </w:tabs>
        <w:ind w:left="46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377"/>
        </w:tabs>
        <w:ind w:left="53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097"/>
        </w:tabs>
        <w:ind w:left="60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17"/>
        </w:tabs>
        <w:ind w:left="68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37"/>
        </w:tabs>
        <w:ind w:left="7537" w:hanging="360"/>
      </w:pPr>
      <w:rPr>
        <w:rFonts w:ascii="Wingdings" w:hAnsi="Wingdings" w:hint="default"/>
      </w:rPr>
    </w:lvl>
  </w:abstractNum>
  <w:abstractNum w:abstractNumId="8" w15:restartNumberingAfterBreak="0">
    <w:nsid w:val="37B67D5A"/>
    <w:multiLevelType w:val="hybridMultilevel"/>
    <w:tmpl w:val="64941BE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6161B6"/>
    <w:multiLevelType w:val="hybridMultilevel"/>
    <w:tmpl w:val="DFF0882A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15B03A3"/>
    <w:multiLevelType w:val="hybridMultilevel"/>
    <w:tmpl w:val="A434FFDA"/>
    <w:lvl w:ilvl="0" w:tplc="6ADCF1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5A4D61"/>
    <w:multiLevelType w:val="hybridMultilevel"/>
    <w:tmpl w:val="C00C4532"/>
    <w:lvl w:ilvl="0" w:tplc="619E6270">
      <w:numFmt w:val="bullet"/>
      <w:lvlText w:val="-"/>
      <w:lvlJc w:val="left"/>
      <w:pPr>
        <w:ind w:left="1070" w:hanging="360"/>
      </w:pPr>
      <w:rPr>
        <w:rFonts w:ascii="Arial" w:eastAsia="MS Mincho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2" w15:restartNumberingAfterBreak="0">
    <w:nsid w:val="4FF94FDB"/>
    <w:multiLevelType w:val="hybridMultilevel"/>
    <w:tmpl w:val="9B6E50D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21798B"/>
    <w:multiLevelType w:val="hybridMultilevel"/>
    <w:tmpl w:val="85523D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8405C7"/>
    <w:multiLevelType w:val="hybridMultilevel"/>
    <w:tmpl w:val="ADF8A322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CF751F0"/>
    <w:multiLevelType w:val="hybridMultilevel"/>
    <w:tmpl w:val="45E615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7247639">
    <w:abstractNumId w:val="13"/>
  </w:num>
  <w:num w:numId="2" w16cid:durableId="2108259670">
    <w:abstractNumId w:val="7"/>
  </w:num>
  <w:num w:numId="3" w16cid:durableId="1632439957">
    <w:abstractNumId w:val="12"/>
  </w:num>
  <w:num w:numId="4" w16cid:durableId="1105032285">
    <w:abstractNumId w:val="7"/>
  </w:num>
  <w:num w:numId="5" w16cid:durableId="1206261647">
    <w:abstractNumId w:val="14"/>
  </w:num>
  <w:num w:numId="6" w16cid:durableId="1887985903">
    <w:abstractNumId w:val="2"/>
  </w:num>
  <w:num w:numId="7" w16cid:durableId="807740970">
    <w:abstractNumId w:val="4"/>
  </w:num>
  <w:num w:numId="8" w16cid:durableId="1557935803">
    <w:abstractNumId w:val="6"/>
  </w:num>
  <w:num w:numId="9" w16cid:durableId="1590306309">
    <w:abstractNumId w:val="9"/>
  </w:num>
  <w:num w:numId="10" w16cid:durableId="1815558255">
    <w:abstractNumId w:val="15"/>
  </w:num>
  <w:num w:numId="11" w16cid:durableId="306326311">
    <w:abstractNumId w:val="5"/>
  </w:num>
  <w:num w:numId="12" w16cid:durableId="1677223695">
    <w:abstractNumId w:val="0"/>
  </w:num>
  <w:num w:numId="13" w16cid:durableId="1764371216">
    <w:abstractNumId w:val="11"/>
  </w:num>
  <w:num w:numId="14" w16cid:durableId="1718167300">
    <w:abstractNumId w:val="1"/>
  </w:num>
  <w:num w:numId="15" w16cid:durableId="520583090">
    <w:abstractNumId w:val="8"/>
  </w:num>
  <w:num w:numId="16" w16cid:durableId="774055789">
    <w:abstractNumId w:val="10"/>
  </w:num>
  <w:num w:numId="17" w16cid:durableId="1863350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9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NDYyMTAyNDIzMrYwMDRQ0lEKTi0uzszPAykwqQUA3UZ9ISwAAAA="/>
  </w:docVars>
  <w:rsids>
    <w:rsidRoot w:val="00A6464A"/>
    <w:rsid w:val="000014D2"/>
    <w:rsid w:val="0000247C"/>
    <w:rsid w:val="00003820"/>
    <w:rsid w:val="0000384B"/>
    <w:rsid w:val="00004660"/>
    <w:rsid w:val="00004D6B"/>
    <w:rsid w:val="000064D7"/>
    <w:rsid w:val="000113CD"/>
    <w:rsid w:val="00011B1C"/>
    <w:rsid w:val="00014A2A"/>
    <w:rsid w:val="00021056"/>
    <w:rsid w:val="000212AB"/>
    <w:rsid w:val="000226E3"/>
    <w:rsid w:val="000264A4"/>
    <w:rsid w:val="000276CC"/>
    <w:rsid w:val="000320CF"/>
    <w:rsid w:val="00033B78"/>
    <w:rsid w:val="00034233"/>
    <w:rsid w:val="0003649D"/>
    <w:rsid w:val="0004096E"/>
    <w:rsid w:val="00040F2B"/>
    <w:rsid w:val="0004358A"/>
    <w:rsid w:val="000435A7"/>
    <w:rsid w:val="000437CE"/>
    <w:rsid w:val="00045DA6"/>
    <w:rsid w:val="00056BA3"/>
    <w:rsid w:val="000571D3"/>
    <w:rsid w:val="00057605"/>
    <w:rsid w:val="0006006F"/>
    <w:rsid w:val="00061BCC"/>
    <w:rsid w:val="00062586"/>
    <w:rsid w:val="000654FB"/>
    <w:rsid w:val="00065D76"/>
    <w:rsid w:val="000666CE"/>
    <w:rsid w:val="0006706E"/>
    <w:rsid w:val="0007078D"/>
    <w:rsid w:val="00070F21"/>
    <w:rsid w:val="00072734"/>
    <w:rsid w:val="00074A76"/>
    <w:rsid w:val="00077198"/>
    <w:rsid w:val="000773B1"/>
    <w:rsid w:val="000774EE"/>
    <w:rsid w:val="00080A37"/>
    <w:rsid w:val="000810EF"/>
    <w:rsid w:val="0008529D"/>
    <w:rsid w:val="00085792"/>
    <w:rsid w:val="00086EBE"/>
    <w:rsid w:val="0009119D"/>
    <w:rsid w:val="000919CB"/>
    <w:rsid w:val="000954F7"/>
    <w:rsid w:val="000965DC"/>
    <w:rsid w:val="00096856"/>
    <w:rsid w:val="000A1A89"/>
    <w:rsid w:val="000A43CE"/>
    <w:rsid w:val="000A4DAE"/>
    <w:rsid w:val="000A59EF"/>
    <w:rsid w:val="000A6C8D"/>
    <w:rsid w:val="000B3999"/>
    <w:rsid w:val="000C0997"/>
    <w:rsid w:val="000C2E38"/>
    <w:rsid w:val="000C34B0"/>
    <w:rsid w:val="000C41A6"/>
    <w:rsid w:val="000C4553"/>
    <w:rsid w:val="000C465D"/>
    <w:rsid w:val="000C49FA"/>
    <w:rsid w:val="000C5F4A"/>
    <w:rsid w:val="000D04E0"/>
    <w:rsid w:val="000D2CFC"/>
    <w:rsid w:val="000D6AF7"/>
    <w:rsid w:val="000E1781"/>
    <w:rsid w:val="000E53EF"/>
    <w:rsid w:val="000E7478"/>
    <w:rsid w:val="000F20B3"/>
    <w:rsid w:val="000F248F"/>
    <w:rsid w:val="000F41A8"/>
    <w:rsid w:val="000F5661"/>
    <w:rsid w:val="000F5CC9"/>
    <w:rsid w:val="00101A42"/>
    <w:rsid w:val="00101E7E"/>
    <w:rsid w:val="0010210E"/>
    <w:rsid w:val="001034D2"/>
    <w:rsid w:val="0010408D"/>
    <w:rsid w:val="00105519"/>
    <w:rsid w:val="00105937"/>
    <w:rsid w:val="001109D4"/>
    <w:rsid w:val="00111220"/>
    <w:rsid w:val="00111E54"/>
    <w:rsid w:val="0011212A"/>
    <w:rsid w:val="001134A0"/>
    <w:rsid w:val="0011429F"/>
    <w:rsid w:val="0012101E"/>
    <w:rsid w:val="00122B0C"/>
    <w:rsid w:val="001276EE"/>
    <w:rsid w:val="0013088B"/>
    <w:rsid w:val="00131322"/>
    <w:rsid w:val="001344C7"/>
    <w:rsid w:val="00134B5D"/>
    <w:rsid w:val="00135265"/>
    <w:rsid w:val="00135D84"/>
    <w:rsid w:val="00136F92"/>
    <w:rsid w:val="00143FDD"/>
    <w:rsid w:val="00150405"/>
    <w:rsid w:val="00152CA5"/>
    <w:rsid w:val="00152E66"/>
    <w:rsid w:val="00154108"/>
    <w:rsid w:val="00154C60"/>
    <w:rsid w:val="00155836"/>
    <w:rsid w:val="00155B8D"/>
    <w:rsid w:val="001569C2"/>
    <w:rsid w:val="001604DF"/>
    <w:rsid w:val="0016061C"/>
    <w:rsid w:val="00163483"/>
    <w:rsid w:val="001653D5"/>
    <w:rsid w:val="00166A5C"/>
    <w:rsid w:val="00166BDD"/>
    <w:rsid w:val="00170461"/>
    <w:rsid w:val="001727A8"/>
    <w:rsid w:val="00173F75"/>
    <w:rsid w:val="00175E1F"/>
    <w:rsid w:val="0018165C"/>
    <w:rsid w:val="00182934"/>
    <w:rsid w:val="0018391E"/>
    <w:rsid w:val="00183FB1"/>
    <w:rsid w:val="00184447"/>
    <w:rsid w:val="00184CC3"/>
    <w:rsid w:val="001866CA"/>
    <w:rsid w:val="00186EDE"/>
    <w:rsid w:val="00187E2F"/>
    <w:rsid w:val="00190920"/>
    <w:rsid w:val="00191828"/>
    <w:rsid w:val="00192A6C"/>
    <w:rsid w:val="0019598B"/>
    <w:rsid w:val="00197F87"/>
    <w:rsid w:val="001A08A8"/>
    <w:rsid w:val="001A0D5F"/>
    <w:rsid w:val="001A1432"/>
    <w:rsid w:val="001A172C"/>
    <w:rsid w:val="001A4401"/>
    <w:rsid w:val="001A7ACB"/>
    <w:rsid w:val="001B0833"/>
    <w:rsid w:val="001B1A00"/>
    <w:rsid w:val="001B2547"/>
    <w:rsid w:val="001B27A8"/>
    <w:rsid w:val="001B2CD5"/>
    <w:rsid w:val="001B2D6F"/>
    <w:rsid w:val="001B3B97"/>
    <w:rsid w:val="001B5396"/>
    <w:rsid w:val="001B59E4"/>
    <w:rsid w:val="001B7D97"/>
    <w:rsid w:val="001C10DF"/>
    <w:rsid w:val="001C2E78"/>
    <w:rsid w:val="001C6EC9"/>
    <w:rsid w:val="001C769B"/>
    <w:rsid w:val="001C7A5D"/>
    <w:rsid w:val="001D2823"/>
    <w:rsid w:val="001D4B48"/>
    <w:rsid w:val="001D55C7"/>
    <w:rsid w:val="001E0891"/>
    <w:rsid w:val="001E1D66"/>
    <w:rsid w:val="001E4131"/>
    <w:rsid w:val="001E4EF7"/>
    <w:rsid w:val="001E5D83"/>
    <w:rsid w:val="001F217F"/>
    <w:rsid w:val="001F3F92"/>
    <w:rsid w:val="001F5E48"/>
    <w:rsid w:val="001F6406"/>
    <w:rsid w:val="001F6AD7"/>
    <w:rsid w:val="002001B3"/>
    <w:rsid w:val="00202B47"/>
    <w:rsid w:val="00203D0A"/>
    <w:rsid w:val="00204BA2"/>
    <w:rsid w:val="00206CBB"/>
    <w:rsid w:val="00210006"/>
    <w:rsid w:val="002111C0"/>
    <w:rsid w:val="0021156F"/>
    <w:rsid w:val="00214967"/>
    <w:rsid w:val="002160DD"/>
    <w:rsid w:val="00216E9A"/>
    <w:rsid w:val="0021782F"/>
    <w:rsid w:val="002205BE"/>
    <w:rsid w:val="0022323E"/>
    <w:rsid w:val="00225029"/>
    <w:rsid w:val="002317AA"/>
    <w:rsid w:val="00232609"/>
    <w:rsid w:val="002327AB"/>
    <w:rsid w:val="00234450"/>
    <w:rsid w:val="00242440"/>
    <w:rsid w:val="0024401C"/>
    <w:rsid w:val="00245ABB"/>
    <w:rsid w:val="00247AC9"/>
    <w:rsid w:val="00251861"/>
    <w:rsid w:val="0025249D"/>
    <w:rsid w:val="0025358D"/>
    <w:rsid w:val="00253DA6"/>
    <w:rsid w:val="002550DA"/>
    <w:rsid w:val="0025527F"/>
    <w:rsid w:val="00261992"/>
    <w:rsid w:val="0026343B"/>
    <w:rsid w:val="00263A36"/>
    <w:rsid w:val="00265D7A"/>
    <w:rsid w:val="00265ECE"/>
    <w:rsid w:val="00265EE2"/>
    <w:rsid w:val="00265F9E"/>
    <w:rsid w:val="0027120B"/>
    <w:rsid w:val="00272292"/>
    <w:rsid w:val="00272664"/>
    <w:rsid w:val="002749C3"/>
    <w:rsid w:val="00275A18"/>
    <w:rsid w:val="00276C9E"/>
    <w:rsid w:val="002802C8"/>
    <w:rsid w:val="00280929"/>
    <w:rsid w:val="00283614"/>
    <w:rsid w:val="00285D6D"/>
    <w:rsid w:val="00287043"/>
    <w:rsid w:val="00291D1E"/>
    <w:rsid w:val="00292DFD"/>
    <w:rsid w:val="00295178"/>
    <w:rsid w:val="002A0F1F"/>
    <w:rsid w:val="002A220E"/>
    <w:rsid w:val="002A4DCF"/>
    <w:rsid w:val="002A569C"/>
    <w:rsid w:val="002A5DD1"/>
    <w:rsid w:val="002A6E45"/>
    <w:rsid w:val="002B2668"/>
    <w:rsid w:val="002B290D"/>
    <w:rsid w:val="002B5621"/>
    <w:rsid w:val="002C1349"/>
    <w:rsid w:val="002C140A"/>
    <w:rsid w:val="002C3F38"/>
    <w:rsid w:val="002D38E0"/>
    <w:rsid w:val="002E1B90"/>
    <w:rsid w:val="002E2365"/>
    <w:rsid w:val="002E29BD"/>
    <w:rsid w:val="002E3FE9"/>
    <w:rsid w:val="002E523C"/>
    <w:rsid w:val="002E6158"/>
    <w:rsid w:val="002F3C70"/>
    <w:rsid w:val="002F5003"/>
    <w:rsid w:val="002F6BF3"/>
    <w:rsid w:val="002F7329"/>
    <w:rsid w:val="002F7A36"/>
    <w:rsid w:val="00300FD1"/>
    <w:rsid w:val="00301245"/>
    <w:rsid w:val="0030251F"/>
    <w:rsid w:val="00304014"/>
    <w:rsid w:val="003068E1"/>
    <w:rsid w:val="0030700E"/>
    <w:rsid w:val="0030794E"/>
    <w:rsid w:val="00310614"/>
    <w:rsid w:val="00314A75"/>
    <w:rsid w:val="00315509"/>
    <w:rsid w:val="00316E7F"/>
    <w:rsid w:val="00317240"/>
    <w:rsid w:val="00320E46"/>
    <w:rsid w:val="0032136E"/>
    <w:rsid w:val="003221CE"/>
    <w:rsid w:val="00322267"/>
    <w:rsid w:val="003248A4"/>
    <w:rsid w:val="00325EB9"/>
    <w:rsid w:val="0033096F"/>
    <w:rsid w:val="003332A1"/>
    <w:rsid w:val="0033470C"/>
    <w:rsid w:val="00336550"/>
    <w:rsid w:val="00337430"/>
    <w:rsid w:val="003419CB"/>
    <w:rsid w:val="00344A38"/>
    <w:rsid w:val="00345495"/>
    <w:rsid w:val="003454DF"/>
    <w:rsid w:val="00346399"/>
    <w:rsid w:val="00350003"/>
    <w:rsid w:val="0035168B"/>
    <w:rsid w:val="0035377B"/>
    <w:rsid w:val="003568D0"/>
    <w:rsid w:val="00357224"/>
    <w:rsid w:val="0036058B"/>
    <w:rsid w:val="00364399"/>
    <w:rsid w:val="0036455E"/>
    <w:rsid w:val="003650B3"/>
    <w:rsid w:val="00365E07"/>
    <w:rsid w:val="00366C1B"/>
    <w:rsid w:val="00370D33"/>
    <w:rsid w:val="00371B39"/>
    <w:rsid w:val="00371EAB"/>
    <w:rsid w:val="003730C2"/>
    <w:rsid w:val="00374CFA"/>
    <w:rsid w:val="00376021"/>
    <w:rsid w:val="00376869"/>
    <w:rsid w:val="00376CB9"/>
    <w:rsid w:val="00381D12"/>
    <w:rsid w:val="003824CC"/>
    <w:rsid w:val="003827C9"/>
    <w:rsid w:val="00383656"/>
    <w:rsid w:val="00383B0B"/>
    <w:rsid w:val="00383D93"/>
    <w:rsid w:val="003900E1"/>
    <w:rsid w:val="0039056A"/>
    <w:rsid w:val="00390AFD"/>
    <w:rsid w:val="0039365C"/>
    <w:rsid w:val="00395D74"/>
    <w:rsid w:val="003A6D53"/>
    <w:rsid w:val="003A7A26"/>
    <w:rsid w:val="003B0A13"/>
    <w:rsid w:val="003B32FA"/>
    <w:rsid w:val="003B6A62"/>
    <w:rsid w:val="003B6C19"/>
    <w:rsid w:val="003C23BD"/>
    <w:rsid w:val="003C25C4"/>
    <w:rsid w:val="003C5388"/>
    <w:rsid w:val="003C61CD"/>
    <w:rsid w:val="003C6A79"/>
    <w:rsid w:val="003D112A"/>
    <w:rsid w:val="003D1816"/>
    <w:rsid w:val="003D29BB"/>
    <w:rsid w:val="003D3999"/>
    <w:rsid w:val="003D7EFA"/>
    <w:rsid w:val="003E110F"/>
    <w:rsid w:val="003E1142"/>
    <w:rsid w:val="003E5E8D"/>
    <w:rsid w:val="003E6C6D"/>
    <w:rsid w:val="003E70EC"/>
    <w:rsid w:val="003E74AE"/>
    <w:rsid w:val="003E7D04"/>
    <w:rsid w:val="003F0CF4"/>
    <w:rsid w:val="003F0E4C"/>
    <w:rsid w:val="003F2918"/>
    <w:rsid w:val="003F3788"/>
    <w:rsid w:val="003F624F"/>
    <w:rsid w:val="003F720F"/>
    <w:rsid w:val="003F7889"/>
    <w:rsid w:val="0040177D"/>
    <w:rsid w:val="00401B1D"/>
    <w:rsid w:val="00403387"/>
    <w:rsid w:val="00406D4F"/>
    <w:rsid w:val="00406E39"/>
    <w:rsid w:val="00410877"/>
    <w:rsid w:val="00413D57"/>
    <w:rsid w:val="00413FDA"/>
    <w:rsid w:val="00416B68"/>
    <w:rsid w:val="00417241"/>
    <w:rsid w:val="00417307"/>
    <w:rsid w:val="004210CB"/>
    <w:rsid w:val="004211C3"/>
    <w:rsid w:val="004246CD"/>
    <w:rsid w:val="00424F11"/>
    <w:rsid w:val="0042603E"/>
    <w:rsid w:val="0042610F"/>
    <w:rsid w:val="00426F55"/>
    <w:rsid w:val="004303EB"/>
    <w:rsid w:val="00431DD0"/>
    <w:rsid w:val="00434D16"/>
    <w:rsid w:val="00435053"/>
    <w:rsid w:val="00435253"/>
    <w:rsid w:val="00441428"/>
    <w:rsid w:val="004424D3"/>
    <w:rsid w:val="0044344B"/>
    <w:rsid w:val="004458F1"/>
    <w:rsid w:val="004460F5"/>
    <w:rsid w:val="00446F12"/>
    <w:rsid w:val="004472FD"/>
    <w:rsid w:val="0045043D"/>
    <w:rsid w:val="0045098A"/>
    <w:rsid w:val="00451F80"/>
    <w:rsid w:val="00453FE3"/>
    <w:rsid w:val="00454CCD"/>
    <w:rsid w:val="00454F59"/>
    <w:rsid w:val="004559E4"/>
    <w:rsid w:val="00460197"/>
    <w:rsid w:val="00460456"/>
    <w:rsid w:val="00460862"/>
    <w:rsid w:val="004623D3"/>
    <w:rsid w:val="00462BA2"/>
    <w:rsid w:val="00462E30"/>
    <w:rsid w:val="00462F25"/>
    <w:rsid w:val="00466DCD"/>
    <w:rsid w:val="00466EF0"/>
    <w:rsid w:val="00466FA3"/>
    <w:rsid w:val="00473A82"/>
    <w:rsid w:val="00481862"/>
    <w:rsid w:val="004900FC"/>
    <w:rsid w:val="004A478B"/>
    <w:rsid w:val="004A5FC0"/>
    <w:rsid w:val="004A79CF"/>
    <w:rsid w:val="004B0D6C"/>
    <w:rsid w:val="004B0E0E"/>
    <w:rsid w:val="004B38D9"/>
    <w:rsid w:val="004B4E30"/>
    <w:rsid w:val="004B5C3D"/>
    <w:rsid w:val="004C0667"/>
    <w:rsid w:val="004C1249"/>
    <w:rsid w:val="004C1503"/>
    <w:rsid w:val="004C1AA8"/>
    <w:rsid w:val="004C1AF2"/>
    <w:rsid w:val="004C2755"/>
    <w:rsid w:val="004C554D"/>
    <w:rsid w:val="004C5A38"/>
    <w:rsid w:val="004C6374"/>
    <w:rsid w:val="004C71FF"/>
    <w:rsid w:val="004C7D7A"/>
    <w:rsid w:val="004D0F25"/>
    <w:rsid w:val="004D2A6B"/>
    <w:rsid w:val="004D5A79"/>
    <w:rsid w:val="004D64FF"/>
    <w:rsid w:val="004D735F"/>
    <w:rsid w:val="004D7E2E"/>
    <w:rsid w:val="004E07F0"/>
    <w:rsid w:val="004E08F5"/>
    <w:rsid w:val="004E0F18"/>
    <w:rsid w:val="004E18C6"/>
    <w:rsid w:val="004E38AE"/>
    <w:rsid w:val="004E52A8"/>
    <w:rsid w:val="004E5458"/>
    <w:rsid w:val="004E5DD4"/>
    <w:rsid w:val="004E64E4"/>
    <w:rsid w:val="004F0346"/>
    <w:rsid w:val="004F1F90"/>
    <w:rsid w:val="004F490D"/>
    <w:rsid w:val="004F55C3"/>
    <w:rsid w:val="00501D2F"/>
    <w:rsid w:val="005041F8"/>
    <w:rsid w:val="00504EAD"/>
    <w:rsid w:val="00505218"/>
    <w:rsid w:val="00510CD5"/>
    <w:rsid w:val="00511280"/>
    <w:rsid w:val="005141C7"/>
    <w:rsid w:val="00516F4F"/>
    <w:rsid w:val="00517756"/>
    <w:rsid w:val="00521ED2"/>
    <w:rsid w:val="005220CC"/>
    <w:rsid w:val="00523810"/>
    <w:rsid w:val="0052454C"/>
    <w:rsid w:val="00524796"/>
    <w:rsid w:val="0053746B"/>
    <w:rsid w:val="005400FD"/>
    <w:rsid w:val="005402BB"/>
    <w:rsid w:val="00540C68"/>
    <w:rsid w:val="005416A7"/>
    <w:rsid w:val="00541D38"/>
    <w:rsid w:val="005423C1"/>
    <w:rsid w:val="00542C7E"/>
    <w:rsid w:val="00544405"/>
    <w:rsid w:val="005446CD"/>
    <w:rsid w:val="0054572C"/>
    <w:rsid w:val="005461DC"/>
    <w:rsid w:val="00546B2E"/>
    <w:rsid w:val="00546B91"/>
    <w:rsid w:val="00546EDB"/>
    <w:rsid w:val="00550C8D"/>
    <w:rsid w:val="0055413F"/>
    <w:rsid w:val="0055663B"/>
    <w:rsid w:val="00556938"/>
    <w:rsid w:val="00557D1F"/>
    <w:rsid w:val="00557DA9"/>
    <w:rsid w:val="00561ABE"/>
    <w:rsid w:val="005626EE"/>
    <w:rsid w:val="005639D8"/>
    <w:rsid w:val="00564B18"/>
    <w:rsid w:val="00564F10"/>
    <w:rsid w:val="00567E6F"/>
    <w:rsid w:val="00570240"/>
    <w:rsid w:val="0057259E"/>
    <w:rsid w:val="00572CEF"/>
    <w:rsid w:val="00574DF8"/>
    <w:rsid w:val="005750DF"/>
    <w:rsid w:val="005776A7"/>
    <w:rsid w:val="00580930"/>
    <w:rsid w:val="00582266"/>
    <w:rsid w:val="00584AAB"/>
    <w:rsid w:val="00586AD8"/>
    <w:rsid w:val="00592E7D"/>
    <w:rsid w:val="00596016"/>
    <w:rsid w:val="005A06FE"/>
    <w:rsid w:val="005A3201"/>
    <w:rsid w:val="005A38AD"/>
    <w:rsid w:val="005A5B09"/>
    <w:rsid w:val="005A6C56"/>
    <w:rsid w:val="005B1369"/>
    <w:rsid w:val="005B30A9"/>
    <w:rsid w:val="005B3CE6"/>
    <w:rsid w:val="005B5B04"/>
    <w:rsid w:val="005B5BAA"/>
    <w:rsid w:val="005B6FD6"/>
    <w:rsid w:val="005C1BAF"/>
    <w:rsid w:val="005C220E"/>
    <w:rsid w:val="005D03C6"/>
    <w:rsid w:val="005D0527"/>
    <w:rsid w:val="005D1B60"/>
    <w:rsid w:val="005D2730"/>
    <w:rsid w:val="005D29C7"/>
    <w:rsid w:val="005D3F80"/>
    <w:rsid w:val="005D5F67"/>
    <w:rsid w:val="005D7AB5"/>
    <w:rsid w:val="005E016C"/>
    <w:rsid w:val="005E1957"/>
    <w:rsid w:val="005E32C8"/>
    <w:rsid w:val="005E3D12"/>
    <w:rsid w:val="005E45C7"/>
    <w:rsid w:val="005E624F"/>
    <w:rsid w:val="005E7D74"/>
    <w:rsid w:val="005F1099"/>
    <w:rsid w:val="005F1A23"/>
    <w:rsid w:val="005F71AE"/>
    <w:rsid w:val="005F7F16"/>
    <w:rsid w:val="0060147C"/>
    <w:rsid w:val="00604A4C"/>
    <w:rsid w:val="00604FA3"/>
    <w:rsid w:val="00612179"/>
    <w:rsid w:val="006130FE"/>
    <w:rsid w:val="006143E0"/>
    <w:rsid w:val="0061679D"/>
    <w:rsid w:val="00617594"/>
    <w:rsid w:val="006221E5"/>
    <w:rsid w:val="00623D7C"/>
    <w:rsid w:val="0062418B"/>
    <w:rsid w:val="0062453B"/>
    <w:rsid w:val="00625B60"/>
    <w:rsid w:val="00632DC6"/>
    <w:rsid w:val="00634AE5"/>
    <w:rsid w:val="00640176"/>
    <w:rsid w:val="00640DE3"/>
    <w:rsid w:val="00641314"/>
    <w:rsid w:val="00641347"/>
    <w:rsid w:val="00641D49"/>
    <w:rsid w:val="00643AD6"/>
    <w:rsid w:val="00643C47"/>
    <w:rsid w:val="00644151"/>
    <w:rsid w:val="00646273"/>
    <w:rsid w:val="0064778F"/>
    <w:rsid w:val="0065340E"/>
    <w:rsid w:val="00653AFE"/>
    <w:rsid w:val="00653BEB"/>
    <w:rsid w:val="00654606"/>
    <w:rsid w:val="00654E24"/>
    <w:rsid w:val="00655BAE"/>
    <w:rsid w:val="00655F0D"/>
    <w:rsid w:val="00656A8E"/>
    <w:rsid w:val="00660532"/>
    <w:rsid w:val="00660C15"/>
    <w:rsid w:val="00664735"/>
    <w:rsid w:val="00665BFB"/>
    <w:rsid w:val="006710E7"/>
    <w:rsid w:val="0067150F"/>
    <w:rsid w:val="0067169E"/>
    <w:rsid w:val="00673D24"/>
    <w:rsid w:val="00681168"/>
    <w:rsid w:val="00683CE1"/>
    <w:rsid w:val="006846BB"/>
    <w:rsid w:val="00685B0B"/>
    <w:rsid w:val="006940B5"/>
    <w:rsid w:val="006A226A"/>
    <w:rsid w:val="006A306C"/>
    <w:rsid w:val="006A40FD"/>
    <w:rsid w:val="006A519F"/>
    <w:rsid w:val="006A7058"/>
    <w:rsid w:val="006B292B"/>
    <w:rsid w:val="006B3D69"/>
    <w:rsid w:val="006B4D35"/>
    <w:rsid w:val="006B5BF6"/>
    <w:rsid w:val="006B68B5"/>
    <w:rsid w:val="006B75AB"/>
    <w:rsid w:val="006C0E31"/>
    <w:rsid w:val="006C0F62"/>
    <w:rsid w:val="006C7838"/>
    <w:rsid w:val="006D01BB"/>
    <w:rsid w:val="006D0B38"/>
    <w:rsid w:val="006D2A38"/>
    <w:rsid w:val="006D2AA2"/>
    <w:rsid w:val="006D74F3"/>
    <w:rsid w:val="006E3172"/>
    <w:rsid w:val="006F4343"/>
    <w:rsid w:val="006F66CE"/>
    <w:rsid w:val="0070184E"/>
    <w:rsid w:val="00701A85"/>
    <w:rsid w:val="007022D1"/>
    <w:rsid w:val="00703E61"/>
    <w:rsid w:val="00705244"/>
    <w:rsid w:val="00707CA7"/>
    <w:rsid w:val="00707F3F"/>
    <w:rsid w:val="00710868"/>
    <w:rsid w:val="00711929"/>
    <w:rsid w:val="00711F26"/>
    <w:rsid w:val="0071281E"/>
    <w:rsid w:val="007147B8"/>
    <w:rsid w:val="00714B88"/>
    <w:rsid w:val="0071589B"/>
    <w:rsid w:val="0071764A"/>
    <w:rsid w:val="00717805"/>
    <w:rsid w:val="00717BB2"/>
    <w:rsid w:val="007238A7"/>
    <w:rsid w:val="00726072"/>
    <w:rsid w:val="007311C4"/>
    <w:rsid w:val="00731942"/>
    <w:rsid w:val="00735521"/>
    <w:rsid w:val="00736CF1"/>
    <w:rsid w:val="00736D30"/>
    <w:rsid w:val="00737DED"/>
    <w:rsid w:val="007402B1"/>
    <w:rsid w:val="007407A3"/>
    <w:rsid w:val="0074148B"/>
    <w:rsid w:val="0074491F"/>
    <w:rsid w:val="00747BB8"/>
    <w:rsid w:val="0075024E"/>
    <w:rsid w:val="007510CB"/>
    <w:rsid w:val="00753802"/>
    <w:rsid w:val="00762125"/>
    <w:rsid w:val="007630DC"/>
    <w:rsid w:val="00765446"/>
    <w:rsid w:val="00765A78"/>
    <w:rsid w:val="007673DA"/>
    <w:rsid w:val="007720A7"/>
    <w:rsid w:val="00772FFE"/>
    <w:rsid w:val="00776BAE"/>
    <w:rsid w:val="00780695"/>
    <w:rsid w:val="00782BE9"/>
    <w:rsid w:val="00793ACD"/>
    <w:rsid w:val="00795413"/>
    <w:rsid w:val="00795761"/>
    <w:rsid w:val="00796340"/>
    <w:rsid w:val="00796F4F"/>
    <w:rsid w:val="007A47C2"/>
    <w:rsid w:val="007A5216"/>
    <w:rsid w:val="007A591C"/>
    <w:rsid w:val="007B3340"/>
    <w:rsid w:val="007B4C4D"/>
    <w:rsid w:val="007B585A"/>
    <w:rsid w:val="007B6FDE"/>
    <w:rsid w:val="007B7783"/>
    <w:rsid w:val="007C0A9D"/>
    <w:rsid w:val="007C66B8"/>
    <w:rsid w:val="007C7862"/>
    <w:rsid w:val="007D0B91"/>
    <w:rsid w:val="007D0FBE"/>
    <w:rsid w:val="007D2962"/>
    <w:rsid w:val="007E0B34"/>
    <w:rsid w:val="007E0D1C"/>
    <w:rsid w:val="007E44F8"/>
    <w:rsid w:val="007E5025"/>
    <w:rsid w:val="007F2DC8"/>
    <w:rsid w:val="007F47F6"/>
    <w:rsid w:val="007F71ED"/>
    <w:rsid w:val="00801BCE"/>
    <w:rsid w:val="008056AE"/>
    <w:rsid w:val="00805AC2"/>
    <w:rsid w:val="00806075"/>
    <w:rsid w:val="00806466"/>
    <w:rsid w:val="00807245"/>
    <w:rsid w:val="00807D3A"/>
    <w:rsid w:val="00812553"/>
    <w:rsid w:val="008131A7"/>
    <w:rsid w:val="0081326B"/>
    <w:rsid w:val="00815D5A"/>
    <w:rsid w:val="00816046"/>
    <w:rsid w:val="008209B4"/>
    <w:rsid w:val="00820B86"/>
    <w:rsid w:val="00820C90"/>
    <w:rsid w:val="00820E8B"/>
    <w:rsid w:val="008217EF"/>
    <w:rsid w:val="00822190"/>
    <w:rsid w:val="00822E02"/>
    <w:rsid w:val="00823CD4"/>
    <w:rsid w:val="008242E5"/>
    <w:rsid w:val="0082654D"/>
    <w:rsid w:val="00827BA9"/>
    <w:rsid w:val="00840EE6"/>
    <w:rsid w:val="00841B4E"/>
    <w:rsid w:val="00841E1E"/>
    <w:rsid w:val="00842CD3"/>
    <w:rsid w:val="00843EDB"/>
    <w:rsid w:val="00846596"/>
    <w:rsid w:val="00846ABD"/>
    <w:rsid w:val="00851A4F"/>
    <w:rsid w:val="00851EF7"/>
    <w:rsid w:val="00854D6A"/>
    <w:rsid w:val="00854FC1"/>
    <w:rsid w:val="00856D98"/>
    <w:rsid w:val="00857FBB"/>
    <w:rsid w:val="0086345D"/>
    <w:rsid w:val="00863E1F"/>
    <w:rsid w:val="008650DB"/>
    <w:rsid w:val="00867C3E"/>
    <w:rsid w:val="0087234A"/>
    <w:rsid w:val="008729F1"/>
    <w:rsid w:val="00874C69"/>
    <w:rsid w:val="00874CE1"/>
    <w:rsid w:val="0087587D"/>
    <w:rsid w:val="00876632"/>
    <w:rsid w:val="00877B56"/>
    <w:rsid w:val="008805F1"/>
    <w:rsid w:val="00881B96"/>
    <w:rsid w:val="008831DA"/>
    <w:rsid w:val="00883B0F"/>
    <w:rsid w:val="00884181"/>
    <w:rsid w:val="00885393"/>
    <w:rsid w:val="0088769B"/>
    <w:rsid w:val="008903EB"/>
    <w:rsid w:val="00891516"/>
    <w:rsid w:val="00891554"/>
    <w:rsid w:val="008915B4"/>
    <w:rsid w:val="008917D9"/>
    <w:rsid w:val="00892D80"/>
    <w:rsid w:val="00894400"/>
    <w:rsid w:val="00894C09"/>
    <w:rsid w:val="00895837"/>
    <w:rsid w:val="0089614E"/>
    <w:rsid w:val="008A30F5"/>
    <w:rsid w:val="008A31A5"/>
    <w:rsid w:val="008B469D"/>
    <w:rsid w:val="008B5197"/>
    <w:rsid w:val="008B61F6"/>
    <w:rsid w:val="008B77DC"/>
    <w:rsid w:val="008C0072"/>
    <w:rsid w:val="008C02C0"/>
    <w:rsid w:val="008C22D2"/>
    <w:rsid w:val="008C6134"/>
    <w:rsid w:val="008C64F8"/>
    <w:rsid w:val="008C66C3"/>
    <w:rsid w:val="008C671C"/>
    <w:rsid w:val="008C6874"/>
    <w:rsid w:val="008D2178"/>
    <w:rsid w:val="008D2B90"/>
    <w:rsid w:val="008D2FE2"/>
    <w:rsid w:val="008D3279"/>
    <w:rsid w:val="008D33D9"/>
    <w:rsid w:val="008D3BE8"/>
    <w:rsid w:val="008D4A0D"/>
    <w:rsid w:val="008D4F05"/>
    <w:rsid w:val="008D6CE6"/>
    <w:rsid w:val="008D78FF"/>
    <w:rsid w:val="008D7AA9"/>
    <w:rsid w:val="008E1B14"/>
    <w:rsid w:val="008E2B13"/>
    <w:rsid w:val="008E7584"/>
    <w:rsid w:val="008F0A8D"/>
    <w:rsid w:val="008F0CAA"/>
    <w:rsid w:val="008F6D71"/>
    <w:rsid w:val="00901B33"/>
    <w:rsid w:val="009056C5"/>
    <w:rsid w:val="009058CD"/>
    <w:rsid w:val="0090717C"/>
    <w:rsid w:val="009075AD"/>
    <w:rsid w:val="009076E4"/>
    <w:rsid w:val="0091263A"/>
    <w:rsid w:val="00914715"/>
    <w:rsid w:val="00915017"/>
    <w:rsid w:val="0092007F"/>
    <w:rsid w:val="00921436"/>
    <w:rsid w:val="009248E9"/>
    <w:rsid w:val="009272EA"/>
    <w:rsid w:val="00927C0F"/>
    <w:rsid w:val="00927E2B"/>
    <w:rsid w:val="00931844"/>
    <w:rsid w:val="009318EA"/>
    <w:rsid w:val="00933E46"/>
    <w:rsid w:val="00934387"/>
    <w:rsid w:val="00936720"/>
    <w:rsid w:val="00940D95"/>
    <w:rsid w:val="00940F55"/>
    <w:rsid w:val="009419CC"/>
    <w:rsid w:val="009445AD"/>
    <w:rsid w:val="00945A86"/>
    <w:rsid w:val="009460C4"/>
    <w:rsid w:val="00952E3F"/>
    <w:rsid w:val="00954EA2"/>
    <w:rsid w:val="0095507B"/>
    <w:rsid w:val="0095562E"/>
    <w:rsid w:val="009557DB"/>
    <w:rsid w:val="009561AF"/>
    <w:rsid w:val="009572B3"/>
    <w:rsid w:val="00957A1B"/>
    <w:rsid w:val="00960FDB"/>
    <w:rsid w:val="00961113"/>
    <w:rsid w:val="00963212"/>
    <w:rsid w:val="00964F3E"/>
    <w:rsid w:val="009676C4"/>
    <w:rsid w:val="0097183D"/>
    <w:rsid w:val="009718CD"/>
    <w:rsid w:val="00973B5B"/>
    <w:rsid w:val="009742A8"/>
    <w:rsid w:val="00974BD9"/>
    <w:rsid w:val="009756AC"/>
    <w:rsid w:val="009808B9"/>
    <w:rsid w:val="009809BD"/>
    <w:rsid w:val="00982591"/>
    <w:rsid w:val="00983500"/>
    <w:rsid w:val="009865EB"/>
    <w:rsid w:val="00987CA2"/>
    <w:rsid w:val="00987CDF"/>
    <w:rsid w:val="00990DCC"/>
    <w:rsid w:val="00991362"/>
    <w:rsid w:val="00995DA5"/>
    <w:rsid w:val="009960AF"/>
    <w:rsid w:val="00996678"/>
    <w:rsid w:val="00996D8B"/>
    <w:rsid w:val="009A24E9"/>
    <w:rsid w:val="009A3242"/>
    <w:rsid w:val="009A331C"/>
    <w:rsid w:val="009A7CDB"/>
    <w:rsid w:val="009B1A0A"/>
    <w:rsid w:val="009B45A5"/>
    <w:rsid w:val="009B494C"/>
    <w:rsid w:val="009B4C26"/>
    <w:rsid w:val="009B596E"/>
    <w:rsid w:val="009C14D9"/>
    <w:rsid w:val="009C1E44"/>
    <w:rsid w:val="009C20A6"/>
    <w:rsid w:val="009C307C"/>
    <w:rsid w:val="009C4E4A"/>
    <w:rsid w:val="009C547B"/>
    <w:rsid w:val="009C67AF"/>
    <w:rsid w:val="009D1AC9"/>
    <w:rsid w:val="009D3B64"/>
    <w:rsid w:val="009D3DAD"/>
    <w:rsid w:val="009D3EB7"/>
    <w:rsid w:val="009D4D3E"/>
    <w:rsid w:val="009D4F8F"/>
    <w:rsid w:val="009D5024"/>
    <w:rsid w:val="009D53FB"/>
    <w:rsid w:val="009D748D"/>
    <w:rsid w:val="009E07AE"/>
    <w:rsid w:val="009E0B43"/>
    <w:rsid w:val="009E1724"/>
    <w:rsid w:val="009E1E77"/>
    <w:rsid w:val="009E3AB9"/>
    <w:rsid w:val="009E4105"/>
    <w:rsid w:val="009E6F71"/>
    <w:rsid w:val="009F1405"/>
    <w:rsid w:val="009F2B1F"/>
    <w:rsid w:val="009F3EB4"/>
    <w:rsid w:val="009F5E6F"/>
    <w:rsid w:val="009F6D06"/>
    <w:rsid w:val="009F725F"/>
    <w:rsid w:val="00A01F1C"/>
    <w:rsid w:val="00A031DA"/>
    <w:rsid w:val="00A05DFE"/>
    <w:rsid w:val="00A06366"/>
    <w:rsid w:val="00A07987"/>
    <w:rsid w:val="00A11D86"/>
    <w:rsid w:val="00A12C0A"/>
    <w:rsid w:val="00A175C8"/>
    <w:rsid w:val="00A213BC"/>
    <w:rsid w:val="00A23A37"/>
    <w:rsid w:val="00A2764F"/>
    <w:rsid w:val="00A3378C"/>
    <w:rsid w:val="00A3498A"/>
    <w:rsid w:val="00A43488"/>
    <w:rsid w:val="00A444EF"/>
    <w:rsid w:val="00A45B57"/>
    <w:rsid w:val="00A46C2B"/>
    <w:rsid w:val="00A5127F"/>
    <w:rsid w:val="00A557C3"/>
    <w:rsid w:val="00A60B45"/>
    <w:rsid w:val="00A6464A"/>
    <w:rsid w:val="00A65876"/>
    <w:rsid w:val="00A66F17"/>
    <w:rsid w:val="00A7056A"/>
    <w:rsid w:val="00A70E88"/>
    <w:rsid w:val="00A71453"/>
    <w:rsid w:val="00A71C35"/>
    <w:rsid w:val="00A73FED"/>
    <w:rsid w:val="00A7502B"/>
    <w:rsid w:val="00A7656A"/>
    <w:rsid w:val="00A76817"/>
    <w:rsid w:val="00A8045E"/>
    <w:rsid w:val="00A80FAD"/>
    <w:rsid w:val="00A83F64"/>
    <w:rsid w:val="00A867B5"/>
    <w:rsid w:val="00A9002A"/>
    <w:rsid w:val="00A918BF"/>
    <w:rsid w:val="00A93E76"/>
    <w:rsid w:val="00A9521E"/>
    <w:rsid w:val="00A95A7D"/>
    <w:rsid w:val="00A9618B"/>
    <w:rsid w:val="00A96826"/>
    <w:rsid w:val="00A9696F"/>
    <w:rsid w:val="00A96F07"/>
    <w:rsid w:val="00AA2AAA"/>
    <w:rsid w:val="00AA4180"/>
    <w:rsid w:val="00AA4DD9"/>
    <w:rsid w:val="00AA5211"/>
    <w:rsid w:val="00AA5CF2"/>
    <w:rsid w:val="00AB05D7"/>
    <w:rsid w:val="00AB5730"/>
    <w:rsid w:val="00AB6C6C"/>
    <w:rsid w:val="00AC0FC6"/>
    <w:rsid w:val="00AC141B"/>
    <w:rsid w:val="00AC1847"/>
    <w:rsid w:val="00AC2915"/>
    <w:rsid w:val="00AC3305"/>
    <w:rsid w:val="00AC3AA6"/>
    <w:rsid w:val="00AC4926"/>
    <w:rsid w:val="00AC4EB3"/>
    <w:rsid w:val="00AC5E54"/>
    <w:rsid w:val="00AC7984"/>
    <w:rsid w:val="00AD2150"/>
    <w:rsid w:val="00AD31B0"/>
    <w:rsid w:val="00AD4F06"/>
    <w:rsid w:val="00AD5C57"/>
    <w:rsid w:val="00AE326D"/>
    <w:rsid w:val="00AE32C5"/>
    <w:rsid w:val="00AE34D5"/>
    <w:rsid w:val="00AE360E"/>
    <w:rsid w:val="00AF4454"/>
    <w:rsid w:val="00AF6910"/>
    <w:rsid w:val="00B0289E"/>
    <w:rsid w:val="00B0377D"/>
    <w:rsid w:val="00B045CE"/>
    <w:rsid w:val="00B06EBB"/>
    <w:rsid w:val="00B10578"/>
    <w:rsid w:val="00B106B7"/>
    <w:rsid w:val="00B114B4"/>
    <w:rsid w:val="00B12322"/>
    <w:rsid w:val="00B12424"/>
    <w:rsid w:val="00B13605"/>
    <w:rsid w:val="00B13B0E"/>
    <w:rsid w:val="00B14A4F"/>
    <w:rsid w:val="00B16F8A"/>
    <w:rsid w:val="00B17B6C"/>
    <w:rsid w:val="00B17C39"/>
    <w:rsid w:val="00B17C67"/>
    <w:rsid w:val="00B20C3A"/>
    <w:rsid w:val="00B2255C"/>
    <w:rsid w:val="00B249D6"/>
    <w:rsid w:val="00B254F0"/>
    <w:rsid w:val="00B25B4F"/>
    <w:rsid w:val="00B300B5"/>
    <w:rsid w:val="00B36DAC"/>
    <w:rsid w:val="00B41AF9"/>
    <w:rsid w:val="00B41BDB"/>
    <w:rsid w:val="00B41F90"/>
    <w:rsid w:val="00B42265"/>
    <w:rsid w:val="00B44BEF"/>
    <w:rsid w:val="00B45359"/>
    <w:rsid w:val="00B45F19"/>
    <w:rsid w:val="00B4619D"/>
    <w:rsid w:val="00B46597"/>
    <w:rsid w:val="00B46AFE"/>
    <w:rsid w:val="00B50019"/>
    <w:rsid w:val="00B51B95"/>
    <w:rsid w:val="00B529D9"/>
    <w:rsid w:val="00B533F7"/>
    <w:rsid w:val="00B53A43"/>
    <w:rsid w:val="00B53E7F"/>
    <w:rsid w:val="00B561C9"/>
    <w:rsid w:val="00B56AC3"/>
    <w:rsid w:val="00B60C43"/>
    <w:rsid w:val="00B62319"/>
    <w:rsid w:val="00B6396B"/>
    <w:rsid w:val="00B66343"/>
    <w:rsid w:val="00B7099C"/>
    <w:rsid w:val="00B72875"/>
    <w:rsid w:val="00B72AC4"/>
    <w:rsid w:val="00B74635"/>
    <w:rsid w:val="00B8023D"/>
    <w:rsid w:val="00B80FE0"/>
    <w:rsid w:val="00B82758"/>
    <w:rsid w:val="00B828CB"/>
    <w:rsid w:val="00B83498"/>
    <w:rsid w:val="00B8519A"/>
    <w:rsid w:val="00B8581F"/>
    <w:rsid w:val="00B86171"/>
    <w:rsid w:val="00B86758"/>
    <w:rsid w:val="00B86845"/>
    <w:rsid w:val="00B86BCF"/>
    <w:rsid w:val="00B90733"/>
    <w:rsid w:val="00B933C8"/>
    <w:rsid w:val="00B935A6"/>
    <w:rsid w:val="00B9456A"/>
    <w:rsid w:val="00B94CD2"/>
    <w:rsid w:val="00B965AB"/>
    <w:rsid w:val="00BA042A"/>
    <w:rsid w:val="00BA0860"/>
    <w:rsid w:val="00BA0EEF"/>
    <w:rsid w:val="00BA4DB7"/>
    <w:rsid w:val="00BB2AD2"/>
    <w:rsid w:val="00BB56C1"/>
    <w:rsid w:val="00BC18A8"/>
    <w:rsid w:val="00BC47F5"/>
    <w:rsid w:val="00BC5C78"/>
    <w:rsid w:val="00BD053C"/>
    <w:rsid w:val="00BE0ED9"/>
    <w:rsid w:val="00BE2777"/>
    <w:rsid w:val="00BE4B45"/>
    <w:rsid w:val="00BE5290"/>
    <w:rsid w:val="00BE7C95"/>
    <w:rsid w:val="00BF3B96"/>
    <w:rsid w:val="00BF6069"/>
    <w:rsid w:val="00BF6105"/>
    <w:rsid w:val="00BF65C6"/>
    <w:rsid w:val="00C00A12"/>
    <w:rsid w:val="00C011D2"/>
    <w:rsid w:val="00C02B91"/>
    <w:rsid w:val="00C02BDE"/>
    <w:rsid w:val="00C03174"/>
    <w:rsid w:val="00C03F5C"/>
    <w:rsid w:val="00C05288"/>
    <w:rsid w:val="00C1241C"/>
    <w:rsid w:val="00C124C9"/>
    <w:rsid w:val="00C12B67"/>
    <w:rsid w:val="00C13671"/>
    <w:rsid w:val="00C15CFE"/>
    <w:rsid w:val="00C203E3"/>
    <w:rsid w:val="00C2588B"/>
    <w:rsid w:val="00C25A88"/>
    <w:rsid w:val="00C265E7"/>
    <w:rsid w:val="00C301A6"/>
    <w:rsid w:val="00C31E81"/>
    <w:rsid w:val="00C32F85"/>
    <w:rsid w:val="00C35E21"/>
    <w:rsid w:val="00C36478"/>
    <w:rsid w:val="00C371FD"/>
    <w:rsid w:val="00C4032E"/>
    <w:rsid w:val="00C40F9F"/>
    <w:rsid w:val="00C4163E"/>
    <w:rsid w:val="00C43CE7"/>
    <w:rsid w:val="00C43DD2"/>
    <w:rsid w:val="00C442CC"/>
    <w:rsid w:val="00C50C91"/>
    <w:rsid w:val="00C53689"/>
    <w:rsid w:val="00C57CF1"/>
    <w:rsid w:val="00C605E8"/>
    <w:rsid w:val="00C60DB3"/>
    <w:rsid w:val="00C656A7"/>
    <w:rsid w:val="00C720E9"/>
    <w:rsid w:val="00C75B93"/>
    <w:rsid w:val="00C77582"/>
    <w:rsid w:val="00C77638"/>
    <w:rsid w:val="00C77E03"/>
    <w:rsid w:val="00C81F0E"/>
    <w:rsid w:val="00C84857"/>
    <w:rsid w:val="00C86736"/>
    <w:rsid w:val="00C87965"/>
    <w:rsid w:val="00C90D78"/>
    <w:rsid w:val="00C94B76"/>
    <w:rsid w:val="00C95A81"/>
    <w:rsid w:val="00C97931"/>
    <w:rsid w:val="00CA051C"/>
    <w:rsid w:val="00CA1024"/>
    <w:rsid w:val="00CA1FC1"/>
    <w:rsid w:val="00CA68F8"/>
    <w:rsid w:val="00CB23C6"/>
    <w:rsid w:val="00CC0C7B"/>
    <w:rsid w:val="00CC2DEF"/>
    <w:rsid w:val="00CC4610"/>
    <w:rsid w:val="00CC500A"/>
    <w:rsid w:val="00CC76FC"/>
    <w:rsid w:val="00CD1F40"/>
    <w:rsid w:val="00CD24BD"/>
    <w:rsid w:val="00CD35AF"/>
    <w:rsid w:val="00CD5BB1"/>
    <w:rsid w:val="00CD6677"/>
    <w:rsid w:val="00CE0970"/>
    <w:rsid w:val="00CE14FC"/>
    <w:rsid w:val="00CE17B4"/>
    <w:rsid w:val="00CE2F46"/>
    <w:rsid w:val="00CE4F35"/>
    <w:rsid w:val="00CE6865"/>
    <w:rsid w:val="00CE7F9F"/>
    <w:rsid w:val="00CF0E0E"/>
    <w:rsid w:val="00CF248B"/>
    <w:rsid w:val="00CF64E6"/>
    <w:rsid w:val="00D0062E"/>
    <w:rsid w:val="00D05C10"/>
    <w:rsid w:val="00D07B0D"/>
    <w:rsid w:val="00D07F8B"/>
    <w:rsid w:val="00D10F35"/>
    <w:rsid w:val="00D1133E"/>
    <w:rsid w:val="00D13C08"/>
    <w:rsid w:val="00D1485E"/>
    <w:rsid w:val="00D15007"/>
    <w:rsid w:val="00D22444"/>
    <w:rsid w:val="00D23B79"/>
    <w:rsid w:val="00D246C6"/>
    <w:rsid w:val="00D253C6"/>
    <w:rsid w:val="00D26A75"/>
    <w:rsid w:val="00D26FDF"/>
    <w:rsid w:val="00D2752E"/>
    <w:rsid w:val="00D30719"/>
    <w:rsid w:val="00D313EB"/>
    <w:rsid w:val="00D32A36"/>
    <w:rsid w:val="00D33020"/>
    <w:rsid w:val="00D331EA"/>
    <w:rsid w:val="00D3339D"/>
    <w:rsid w:val="00D3383D"/>
    <w:rsid w:val="00D462F2"/>
    <w:rsid w:val="00D518B3"/>
    <w:rsid w:val="00D540E7"/>
    <w:rsid w:val="00D54215"/>
    <w:rsid w:val="00D547B3"/>
    <w:rsid w:val="00D55049"/>
    <w:rsid w:val="00D5551F"/>
    <w:rsid w:val="00D61BEF"/>
    <w:rsid w:val="00D630D3"/>
    <w:rsid w:val="00D6426D"/>
    <w:rsid w:val="00D64FCF"/>
    <w:rsid w:val="00D652A1"/>
    <w:rsid w:val="00D656CB"/>
    <w:rsid w:val="00D6595D"/>
    <w:rsid w:val="00D6653F"/>
    <w:rsid w:val="00D66713"/>
    <w:rsid w:val="00D67253"/>
    <w:rsid w:val="00D714BF"/>
    <w:rsid w:val="00D7543B"/>
    <w:rsid w:val="00D815E9"/>
    <w:rsid w:val="00D90F13"/>
    <w:rsid w:val="00D91B99"/>
    <w:rsid w:val="00D92392"/>
    <w:rsid w:val="00D93583"/>
    <w:rsid w:val="00DA01AF"/>
    <w:rsid w:val="00DA1D51"/>
    <w:rsid w:val="00DA1FC6"/>
    <w:rsid w:val="00DB187B"/>
    <w:rsid w:val="00DB1BCE"/>
    <w:rsid w:val="00DB4B58"/>
    <w:rsid w:val="00DB5945"/>
    <w:rsid w:val="00DB5C1A"/>
    <w:rsid w:val="00DB70A2"/>
    <w:rsid w:val="00DC557A"/>
    <w:rsid w:val="00DC5E8D"/>
    <w:rsid w:val="00DC6651"/>
    <w:rsid w:val="00DC7591"/>
    <w:rsid w:val="00DD1601"/>
    <w:rsid w:val="00DD206E"/>
    <w:rsid w:val="00DE064F"/>
    <w:rsid w:val="00DE1043"/>
    <w:rsid w:val="00DE1205"/>
    <w:rsid w:val="00DE2F5D"/>
    <w:rsid w:val="00DE7E41"/>
    <w:rsid w:val="00DF3660"/>
    <w:rsid w:val="00DF3B79"/>
    <w:rsid w:val="00DF6589"/>
    <w:rsid w:val="00E0035B"/>
    <w:rsid w:val="00E073B8"/>
    <w:rsid w:val="00E122C8"/>
    <w:rsid w:val="00E13931"/>
    <w:rsid w:val="00E143B5"/>
    <w:rsid w:val="00E17504"/>
    <w:rsid w:val="00E24992"/>
    <w:rsid w:val="00E24AEC"/>
    <w:rsid w:val="00E279C8"/>
    <w:rsid w:val="00E33E90"/>
    <w:rsid w:val="00E34898"/>
    <w:rsid w:val="00E4035B"/>
    <w:rsid w:val="00E42DFF"/>
    <w:rsid w:val="00E433C3"/>
    <w:rsid w:val="00E43BFD"/>
    <w:rsid w:val="00E43D24"/>
    <w:rsid w:val="00E453F9"/>
    <w:rsid w:val="00E50873"/>
    <w:rsid w:val="00E53CAD"/>
    <w:rsid w:val="00E5402D"/>
    <w:rsid w:val="00E55F22"/>
    <w:rsid w:val="00E57268"/>
    <w:rsid w:val="00E57491"/>
    <w:rsid w:val="00E60A1E"/>
    <w:rsid w:val="00E630F6"/>
    <w:rsid w:val="00E6373B"/>
    <w:rsid w:val="00E6380B"/>
    <w:rsid w:val="00E64186"/>
    <w:rsid w:val="00E64760"/>
    <w:rsid w:val="00E66375"/>
    <w:rsid w:val="00E67532"/>
    <w:rsid w:val="00E706BD"/>
    <w:rsid w:val="00E70BE4"/>
    <w:rsid w:val="00E728D9"/>
    <w:rsid w:val="00E74156"/>
    <w:rsid w:val="00E74DBD"/>
    <w:rsid w:val="00E772E0"/>
    <w:rsid w:val="00E77639"/>
    <w:rsid w:val="00E8310B"/>
    <w:rsid w:val="00E84587"/>
    <w:rsid w:val="00E905AF"/>
    <w:rsid w:val="00E91DD8"/>
    <w:rsid w:val="00E94876"/>
    <w:rsid w:val="00E9760D"/>
    <w:rsid w:val="00EA34F1"/>
    <w:rsid w:val="00EA3DB2"/>
    <w:rsid w:val="00EA4BBF"/>
    <w:rsid w:val="00EA5352"/>
    <w:rsid w:val="00EA7472"/>
    <w:rsid w:val="00EB0C1A"/>
    <w:rsid w:val="00EB3D1F"/>
    <w:rsid w:val="00EB52D9"/>
    <w:rsid w:val="00EB557C"/>
    <w:rsid w:val="00EC34CF"/>
    <w:rsid w:val="00EC4604"/>
    <w:rsid w:val="00EC47A7"/>
    <w:rsid w:val="00EC4950"/>
    <w:rsid w:val="00EC524F"/>
    <w:rsid w:val="00EC5B11"/>
    <w:rsid w:val="00EC5DBE"/>
    <w:rsid w:val="00EC60EB"/>
    <w:rsid w:val="00ED17FE"/>
    <w:rsid w:val="00ED33D4"/>
    <w:rsid w:val="00ED3AFA"/>
    <w:rsid w:val="00ED5CE0"/>
    <w:rsid w:val="00ED6877"/>
    <w:rsid w:val="00ED6A7D"/>
    <w:rsid w:val="00EE02C6"/>
    <w:rsid w:val="00EE2D50"/>
    <w:rsid w:val="00EE3A84"/>
    <w:rsid w:val="00EE3B75"/>
    <w:rsid w:val="00EF0338"/>
    <w:rsid w:val="00EF515D"/>
    <w:rsid w:val="00EF52DD"/>
    <w:rsid w:val="00F04BE2"/>
    <w:rsid w:val="00F0648B"/>
    <w:rsid w:val="00F0720C"/>
    <w:rsid w:val="00F07467"/>
    <w:rsid w:val="00F10597"/>
    <w:rsid w:val="00F1071A"/>
    <w:rsid w:val="00F10D22"/>
    <w:rsid w:val="00F11E9E"/>
    <w:rsid w:val="00F123A8"/>
    <w:rsid w:val="00F12CAA"/>
    <w:rsid w:val="00F130FA"/>
    <w:rsid w:val="00F14167"/>
    <w:rsid w:val="00F2005A"/>
    <w:rsid w:val="00F23067"/>
    <w:rsid w:val="00F273AA"/>
    <w:rsid w:val="00F27E11"/>
    <w:rsid w:val="00F304CC"/>
    <w:rsid w:val="00F305C6"/>
    <w:rsid w:val="00F34C64"/>
    <w:rsid w:val="00F418CB"/>
    <w:rsid w:val="00F425AF"/>
    <w:rsid w:val="00F42C5F"/>
    <w:rsid w:val="00F42DEE"/>
    <w:rsid w:val="00F42E56"/>
    <w:rsid w:val="00F43584"/>
    <w:rsid w:val="00F44AC6"/>
    <w:rsid w:val="00F44C1C"/>
    <w:rsid w:val="00F44CD3"/>
    <w:rsid w:val="00F463A8"/>
    <w:rsid w:val="00F46BBE"/>
    <w:rsid w:val="00F47691"/>
    <w:rsid w:val="00F47D77"/>
    <w:rsid w:val="00F5001A"/>
    <w:rsid w:val="00F534CF"/>
    <w:rsid w:val="00F53FB7"/>
    <w:rsid w:val="00F54734"/>
    <w:rsid w:val="00F55FA4"/>
    <w:rsid w:val="00F627D2"/>
    <w:rsid w:val="00F639AF"/>
    <w:rsid w:val="00F63C36"/>
    <w:rsid w:val="00F7246E"/>
    <w:rsid w:val="00F7270B"/>
    <w:rsid w:val="00F734BA"/>
    <w:rsid w:val="00F7373E"/>
    <w:rsid w:val="00F7390F"/>
    <w:rsid w:val="00F7469B"/>
    <w:rsid w:val="00F763DE"/>
    <w:rsid w:val="00F8147C"/>
    <w:rsid w:val="00F8296F"/>
    <w:rsid w:val="00F8334B"/>
    <w:rsid w:val="00F84787"/>
    <w:rsid w:val="00F85EB2"/>
    <w:rsid w:val="00F86852"/>
    <w:rsid w:val="00F87624"/>
    <w:rsid w:val="00F919E1"/>
    <w:rsid w:val="00FA1A86"/>
    <w:rsid w:val="00FA1C82"/>
    <w:rsid w:val="00FA38C8"/>
    <w:rsid w:val="00FA6BA2"/>
    <w:rsid w:val="00FA7A8B"/>
    <w:rsid w:val="00FB1C64"/>
    <w:rsid w:val="00FB4037"/>
    <w:rsid w:val="00FB4B5A"/>
    <w:rsid w:val="00FB6F4C"/>
    <w:rsid w:val="00FB71AD"/>
    <w:rsid w:val="00FB7410"/>
    <w:rsid w:val="00FC0E8C"/>
    <w:rsid w:val="00FC6863"/>
    <w:rsid w:val="00FC6A5C"/>
    <w:rsid w:val="00FC6F4B"/>
    <w:rsid w:val="00FC7F93"/>
    <w:rsid w:val="00FD0839"/>
    <w:rsid w:val="00FD1064"/>
    <w:rsid w:val="00FD3051"/>
    <w:rsid w:val="00FD5728"/>
    <w:rsid w:val="00FE0294"/>
    <w:rsid w:val="00FE3D52"/>
    <w:rsid w:val="00FE5F19"/>
    <w:rsid w:val="00FE606A"/>
    <w:rsid w:val="00FE76C3"/>
    <w:rsid w:val="00FF184E"/>
    <w:rsid w:val="00FF2266"/>
    <w:rsid w:val="00FF291B"/>
    <w:rsid w:val="00FF59CD"/>
    <w:rsid w:val="00FF6F89"/>
    <w:rsid w:val="01B69808"/>
    <w:rsid w:val="03E6216F"/>
    <w:rsid w:val="07750497"/>
    <w:rsid w:val="09D99F67"/>
    <w:rsid w:val="0C4B4501"/>
    <w:rsid w:val="0C905664"/>
    <w:rsid w:val="0D95B579"/>
    <w:rsid w:val="0EFC1CC9"/>
    <w:rsid w:val="11629517"/>
    <w:rsid w:val="136733D6"/>
    <w:rsid w:val="139CD1BD"/>
    <w:rsid w:val="14F362A8"/>
    <w:rsid w:val="150C4A1A"/>
    <w:rsid w:val="16631656"/>
    <w:rsid w:val="167434DA"/>
    <w:rsid w:val="16DE98C4"/>
    <w:rsid w:val="1BD99758"/>
    <w:rsid w:val="1D49B639"/>
    <w:rsid w:val="20C5A53C"/>
    <w:rsid w:val="2222EDCD"/>
    <w:rsid w:val="224F7828"/>
    <w:rsid w:val="227ABB21"/>
    <w:rsid w:val="22A36148"/>
    <w:rsid w:val="23298339"/>
    <w:rsid w:val="23587998"/>
    <w:rsid w:val="2360C33E"/>
    <w:rsid w:val="238A4E1E"/>
    <w:rsid w:val="24111EE6"/>
    <w:rsid w:val="24FF7DD2"/>
    <w:rsid w:val="262B372B"/>
    <w:rsid w:val="26349639"/>
    <w:rsid w:val="27149577"/>
    <w:rsid w:val="2789AC2D"/>
    <w:rsid w:val="27A2F3B2"/>
    <w:rsid w:val="27EFE7EB"/>
    <w:rsid w:val="28269133"/>
    <w:rsid w:val="287CF48E"/>
    <w:rsid w:val="28DAECDD"/>
    <w:rsid w:val="296C36FB"/>
    <w:rsid w:val="2BB49550"/>
    <w:rsid w:val="2C1A5766"/>
    <w:rsid w:val="2E596367"/>
    <w:rsid w:val="2F66E836"/>
    <w:rsid w:val="329EAC84"/>
    <w:rsid w:val="34097D58"/>
    <w:rsid w:val="35424F39"/>
    <w:rsid w:val="38903F15"/>
    <w:rsid w:val="3894AAA8"/>
    <w:rsid w:val="3AD48B11"/>
    <w:rsid w:val="3E49A814"/>
    <w:rsid w:val="3F7AFEB2"/>
    <w:rsid w:val="409AB912"/>
    <w:rsid w:val="40CC36DF"/>
    <w:rsid w:val="417C31D3"/>
    <w:rsid w:val="43CB7AF7"/>
    <w:rsid w:val="4403D7A1"/>
    <w:rsid w:val="4686D02C"/>
    <w:rsid w:val="4704008F"/>
    <w:rsid w:val="47225006"/>
    <w:rsid w:val="47795D87"/>
    <w:rsid w:val="4873E880"/>
    <w:rsid w:val="4883E49F"/>
    <w:rsid w:val="4886D5B7"/>
    <w:rsid w:val="48D01F65"/>
    <w:rsid w:val="48E44D4D"/>
    <w:rsid w:val="497F754D"/>
    <w:rsid w:val="4A4240C9"/>
    <w:rsid w:val="4B08DC9C"/>
    <w:rsid w:val="4DB112DB"/>
    <w:rsid w:val="4F1ED760"/>
    <w:rsid w:val="50F7C1B0"/>
    <w:rsid w:val="51217565"/>
    <w:rsid w:val="55F4E688"/>
    <w:rsid w:val="56072FCC"/>
    <w:rsid w:val="56906662"/>
    <w:rsid w:val="59286BA5"/>
    <w:rsid w:val="5A6828B4"/>
    <w:rsid w:val="5AE852E3"/>
    <w:rsid w:val="5C1AFA87"/>
    <w:rsid w:val="5D34B226"/>
    <w:rsid w:val="5D6CA982"/>
    <w:rsid w:val="5DA75781"/>
    <w:rsid w:val="61FD5EC9"/>
    <w:rsid w:val="65A07D42"/>
    <w:rsid w:val="666742B3"/>
    <w:rsid w:val="678F2A42"/>
    <w:rsid w:val="67BEA292"/>
    <w:rsid w:val="6963DE94"/>
    <w:rsid w:val="6A184AB6"/>
    <w:rsid w:val="6A911A3F"/>
    <w:rsid w:val="6A9B2A6B"/>
    <w:rsid w:val="6B413F9B"/>
    <w:rsid w:val="6CB8148B"/>
    <w:rsid w:val="6DD2CB2D"/>
    <w:rsid w:val="74A76C3F"/>
    <w:rsid w:val="751FC13F"/>
    <w:rsid w:val="75DD133A"/>
    <w:rsid w:val="761AF97C"/>
    <w:rsid w:val="77B5BD6D"/>
    <w:rsid w:val="7AAF55F7"/>
    <w:rsid w:val="7B64ACC5"/>
    <w:rsid w:val="7C99918F"/>
    <w:rsid w:val="7CE33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20C2F0A"/>
  <w15:chartTrackingRefBased/>
  <w15:docId w15:val="{598CFB04-984E-4CEB-AB04-B3185F5FD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MS Mincho" w:hAnsi="Cambria" w:cs="Times New Roman"/>
        <w:lang w:val="es-ES" w:eastAsia="ja-JP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1B95"/>
    <w:rPr>
      <w:sz w:val="24"/>
      <w:szCs w:val="24"/>
      <w:lang w:val="es-ES_tradnl" w:eastAsia="es-ES" w:bidi="ar-SA"/>
    </w:rPr>
  </w:style>
  <w:style w:type="paragraph" w:styleId="Ttulo1">
    <w:name w:val="heading 1"/>
    <w:basedOn w:val="Normal"/>
    <w:next w:val="Normal"/>
    <w:link w:val="Ttulo1Carter"/>
    <w:uiPriority w:val="9"/>
    <w:qFormat/>
    <w:rsid w:val="008903EB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  <w:lang w:eastAsia="x-none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717BB2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717BB2"/>
  </w:style>
  <w:style w:type="paragraph" w:styleId="Rodap">
    <w:name w:val="footer"/>
    <w:basedOn w:val="Normal"/>
    <w:link w:val="RodapCarter"/>
    <w:uiPriority w:val="99"/>
    <w:unhideWhenUsed/>
    <w:rsid w:val="00717BB2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717BB2"/>
  </w:style>
  <w:style w:type="paragraph" w:styleId="Textodebalo">
    <w:name w:val="Balloon Text"/>
    <w:basedOn w:val="Normal"/>
    <w:link w:val="TextodebaloCarter"/>
    <w:uiPriority w:val="99"/>
    <w:semiHidden/>
    <w:unhideWhenUsed/>
    <w:rsid w:val="002B2668"/>
    <w:rPr>
      <w:rFonts w:ascii="Lucida Grande" w:hAnsi="Lucida Grande"/>
      <w:sz w:val="18"/>
      <w:szCs w:val="18"/>
      <w:lang w:val="x-none" w:eastAsia="x-none"/>
    </w:rPr>
  </w:style>
  <w:style w:type="character" w:customStyle="1" w:styleId="TextodebaloCarter">
    <w:name w:val="Texto de balão Caráter"/>
    <w:link w:val="Textodebalo"/>
    <w:uiPriority w:val="99"/>
    <w:semiHidden/>
    <w:rsid w:val="002B2668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Tipodeletrapredefinidodopargrafo"/>
    <w:uiPriority w:val="99"/>
    <w:semiHidden/>
    <w:unhideWhenUsed/>
    <w:rsid w:val="00155B8D"/>
  </w:style>
  <w:style w:type="character" w:styleId="Hiperligao">
    <w:name w:val="Hyperlink"/>
    <w:uiPriority w:val="99"/>
    <w:unhideWhenUsed/>
    <w:rsid w:val="0070184E"/>
    <w:rPr>
      <w:color w:val="0000FF"/>
      <w:u w:val="single"/>
    </w:rPr>
  </w:style>
  <w:style w:type="paragraph" w:styleId="PargrafodaLista">
    <w:name w:val="List Paragraph"/>
    <w:aliases w:val="Arial 8,Yellow Bullet,Normal bullet 2,Mummuga loetelu,Loendi l?ik,2,Table/Figure Heading,Loendi lõik,List normal"/>
    <w:basedOn w:val="Normal"/>
    <w:link w:val="PargrafodaListaCarter"/>
    <w:uiPriority w:val="34"/>
    <w:qFormat/>
    <w:rsid w:val="00152E66"/>
    <w:pPr>
      <w:widowControl w:val="0"/>
      <w:suppressAutoHyphens/>
      <w:ind w:left="720"/>
      <w:contextualSpacing/>
      <w:jc w:val="both"/>
    </w:pPr>
    <w:rPr>
      <w:rFonts w:ascii="Calibri" w:eastAsia="Calibri" w:hAnsi="Calibri"/>
      <w:kern w:val="1"/>
      <w:sz w:val="20"/>
      <w:lang w:val="it-IT" w:eastAsia="zh-CN" w:bidi="hi-IN"/>
    </w:rPr>
  </w:style>
  <w:style w:type="paragraph" w:styleId="NormalWeb">
    <w:name w:val="Normal (Web)"/>
    <w:basedOn w:val="Normal"/>
    <w:uiPriority w:val="99"/>
    <w:rsid w:val="001C7A5D"/>
    <w:rPr>
      <w:rFonts w:ascii="Times New Roman" w:eastAsia="Times New Roman" w:hAnsi="Times New Roman"/>
      <w:lang w:val="es-ES" w:eastAsia="en-US"/>
    </w:rPr>
  </w:style>
  <w:style w:type="paragraph" w:customStyle="1" w:styleId="4entradilla">
    <w:name w:val="4 entradilla"/>
    <w:basedOn w:val="Normal"/>
    <w:rsid w:val="00F123A8"/>
    <w:pPr>
      <w:numPr>
        <w:numId w:val="2"/>
      </w:numPr>
    </w:pPr>
    <w:rPr>
      <w:rFonts w:ascii="Arial" w:eastAsia="Times New Roman" w:hAnsi="Arial" w:cs="Arial"/>
      <w:b/>
      <w:color w:val="002261"/>
      <w:sz w:val="18"/>
      <w:szCs w:val="18"/>
      <w:lang w:val="es-ES"/>
    </w:rPr>
  </w:style>
  <w:style w:type="paragraph" w:customStyle="1" w:styleId="Default">
    <w:name w:val="Default"/>
    <w:rsid w:val="005041F8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 w:bidi="ar-SA"/>
    </w:rPr>
  </w:style>
  <w:style w:type="paragraph" w:customStyle="1" w:styleId="2texto">
    <w:name w:val="2 texto"/>
    <w:basedOn w:val="Normal"/>
    <w:link w:val="2textoCarCar"/>
    <w:rsid w:val="005041F8"/>
    <w:rPr>
      <w:rFonts w:ascii="Arial" w:eastAsia="Times New Roman" w:hAnsi="Arial"/>
      <w:color w:val="444444"/>
      <w:sz w:val="20"/>
      <w:szCs w:val="20"/>
      <w:lang w:val="x-none" w:eastAsia="x-none"/>
    </w:rPr>
  </w:style>
  <w:style w:type="character" w:customStyle="1" w:styleId="2textoCarCar">
    <w:name w:val="2 texto Car Car"/>
    <w:link w:val="2texto"/>
    <w:rsid w:val="005041F8"/>
    <w:rPr>
      <w:rFonts w:ascii="Arial" w:eastAsia="Times New Roman" w:hAnsi="Arial" w:cs="Arial"/>
      <w:color w:val="444444"/>
    </w:rPr>
  </w:style>
  <w:style w:type="paragraph" w:styleId="Reviso">
    <w:name w:val="Revision"/>
    <w:hidden/>
    <w:uiPriority w:val="99"/>
    <w:semiHidden/>
    <w:rsid w:val="009075AD"/>
    <w:rPr>
      <w:sz w:val="24"/>
      <w:szCs w:val="24"/>
      <w:lang w:val="es-ES_tradnl" w:eastAsia="es-ES" w:bidi="ar-SA"/>
    </w:rPr>
  </w:style>
  <w:style w:type="character" w:styleId="Refdecomentrio">
    <w:name w:val="annotation reference"/>
    <w:uiPriority w:val="99"/>
    <w:semiHidden/>
    <w:unhideWhenUsed/>
    <w:rsid w:val="00654606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unhideWhenUsed/>
    <w:rsid w:val="00654606"/>
    <w:rPr>
      <w:sz w:val="20"/>
      <w:szCs w:val="20"/>
      <w:lang w:eastAsia="x-none"/>
    </w:rPr>
  </w:style>
  <w:style w:type="character" w:customStyle="1" w:styleId="TextodecomentrioCarter">
    <w:name w:val="Texto de comentário Caráter"/>
    <w:link w:val="Textodecomentrio"/>
    <w:uiPriority w:val="99"/>
    <w:rsid w:val="00654606"/>
    <w:rPr>
      <w:lang w:val="es-ES_tradnl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654606"/>
    <w:rPr>
      <w:b/>
      <w:bCs/>
    </w:rPr>
  </w:style>
  <w:style w:type="character" w:customStyle="1" w:styleId="AssuntodecomentrioCarter">
    <w:name w:val="Assunto de comentário Caráter"/>
    <w:link w:val="Assuntodecomentrio"/>
    <w:uiPriority w:val="99"/>
    <w:semiHidden/>
    <w:rsid w:val="00654606"/>
    <w:rPr>
      <w:b/>
      <w:bCs/>
      <w:lang w:val="es-ES_tradnl"/>
    </w:rPr>
  </w:style>
  <w:style w:type="character" w:customStyle="1" w:styleId="Ttulo1Carter">
    <w:name w:val="Título 1 Caráter"/>
    <w:link w:val="Ttulo1"/>
    <w:uiPriority w:val="9"/>
    <w:rsid w:val="008903EB"/>
    <w:rPr>
      <w:rFonts w:ascii="Calibri Light" w:eastAsia="Times New Roman" w:hAnsi="Calibri Light" w:cs="Times New Roman"/>
      <w:b/>
      <w:bCs/>
      <w:kern w:val="32"/>
      <w:sz w:val="32"/>
      <w:szCs w:val="32"/>
      <w:lang w:val="es-ES_tradnl"/>
    </w:rPr>
  </w:style>
  <w:style w:type="character" w:styleId="Hiperligaovisitada">
    <w:name w:val="FollowedHyperlink"/>
    <w:uiPriority w:val="99"/>
    <w:semiHidden/>
    <w:unhideWhenUsed/>
    <w:rsid w:val="003B0A13"/>
    <w:rPr>
      <w:color w:val="954F72"/>
      <w:u w:val="single"/>
    </w:rPr>
  </w:style>
  <w:style w:type="character" w:customStyle="1" w:styleId="PargrafodaListaCarter">
    <w:name w:val="Parágrafo da Lista Caráter"/>
    <w:aliases w:val="Arial 8 Caráter,Yellow Bullet Caráter,Normal bullet 2 Caráter,Mummuga loetelu Caráter,Loendi l?ik Caráter,2 Caráter,Table/Figure Heading Caráter,Loendi lõik Caráter,List normal Caráter"/>
    <w:link w:val="PargrafodaLista"/>
    <w:uiPriority w:val="34"/>
    <w:locked/>
    <w:rsid w:val="002E3FE9"/>
    <w:rPr>
      <w:rFonts w:ascii="Calibri" w:eastAsia="Calibri" w:hAnsi="Calibri"/>
      <w:kern w:val="1"/>
      <w:szCs w:val="24"/>
      <w:lang w:val="it-IT" w:eastAsia="zh-CN" w:bidi="hi-IN"/>
    </w:rPr>
  </w:style>
  <w:style w:type="table" w:styleId="TabelacomGrelha">
    <w:name w:val="Table Grid"/>
    <w:basedOn w:val="Tabela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MenoNoResolvida">
    <w:name w:val="Unresolved Mention"/>
    <w:basedOn w:val="Tipodeletrapredefinidodopargrafo"/>
    <w:uiPriority w:val="99"/>
    <w:semiHidden/>
    <w:unhideWhenUsed/>
    <w:rsid w:val="00F107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37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7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urldefense.com/v3/__https:/www.un.org/sustainabledevelopment/es/objetivos-de-desarrollo-sostenible/__;!!OjemSMKBgg!gdbJQlZV_kq_VKWV1PbrWhn-h17MW-MAvIM9bhJTWbf5bRnWXnUUiFrIiNvVoFMGJ956msqIrptyBBaR6UJbs0poY1rHdGykaYA$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yperlink" Target="https://urldefense.com/v3/__http:/www.endesa.com__;!!IHJ3XrWN4X8!NX6qs98xpdRlFKYr-E4RlBse-VNyz1vP7gZWTgzxMsdSuF7rZAe63IGu4hdvEvDqT7xoNGj0CzPZcH7D8te7uTwpK3ADf64D$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urldefense.com/v3/__http:/www.enel.com/es__;!!IHJ3XrWN4X8!NX6qs98xpdRlFKYr-E4RlBse-VNyz1vP7gZWTgzxMsdSuF7rZAe63IGu4hdvEvDqT7xoNGj0CzPZcH7D8te7uTwpKxoBdHny$" TargetMode="Externa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urldefense.com/v3/__http:/www.fundacionendesa.org/__;!!IHJ3XrWN4X8!NX6qs98xpdRlFKYr-E4RlBse-VNyz1vP7gZWTgzxMsdSuF7rZAe63IGu4hdvEvDqT7xoNGj0CzPZcH7D8te7uTwpK4IrehCS$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Area%20Open\Media%20relations\2016\rebranding\templates_nuovi\Press_Release_160126\Press_Release_160126\Endesa\Endesa_stationery_pressReleaseTemplate_ES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893431b-ac2f-4a2b-a147-cbd99e410198">
      <UserInfo>
        <DisplayName>Llata Lavín, Julia María</DisplayName>
        <AccountId>54</AccountId>
        <AccountType/>
      </UserInfo>
      <UserInfo>
        <DisplayName>Jimenez Soler, Ignacio</DisplayName>
        <AccountId>43</AccountId>
        <AccountType/>
      </UserInfo>
      <UserInfo>
        <DisplayName>Martinez Carrasco, Maria Del Mar</DisplayName>
        <AccountId>237</AccountId>
        <AccountType/>
      </UserInfo>
    </SharedWithUsers>
    <PORTEMA xmlns="722f10b2-643e-47be-a301-b891cceeb921" xsi:nil="true"/>
    <POR_x00c1_MBITO xmlns="722f10b2-643e-47be-a301-b891cceeb921">
      <Value>INSTITUCIONAL</Value>
    </POR_x00c1_MBITO>
    <SUBTEMA xmlns="722f10b2-643e-47be-a301-b891cceeb921" xsi:nil="true"/>
    <TaxCatchAll xmlns="e893431b-ac2f-4a2b-a147-cbd99e410198" xsi:nil="true"/>
    <Lanzamiento xmlns="722f10b2-643e-47be-a301-b891cceeb921" xsi:nil="true"/>
    <lcf76f155ced4ddcb4097134ff3c332f xmlns="722f10b2-643e-47be-a301-b891cceeb921">
      <Terms xmlns="http://schemas.microsoft.com/office/infopath/2007/PartnerControls"/>
    </lcf76f155ced4ddcb4097134ff3c332f>
    <PORTERRITORIOS xmlns="722f10b2-643e-47be-a301-b891cceeb921">PORTUGAL</PORTERRITORIOS>
    <POREJE xmlns="722f10b2-643e-47be-a301-b891cceeb921">
      <Value>PERSONAS</Value>
    </POREJE>
    <FECHA xmlns="722f10b2-643e-47be-a301-b891cceeb921">2024-11-18T23:00:00+00:00</FECHA>
    <NEGOCIO xmlns="722f10b2-643e-47be-a301-b891cceeb921" xsi:nil="true"/>
    <PROVINCIA xmlns="722f10b2-643e-47be-a301-b891cceeb921" xsi:nil="true"/>
    <_x00c1_MBITO xmlns="722f10b2-643e-47be-a301-b891cceeb921" xsi:nil="true"/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D01D74F48518C498758E06E9B0C0BF2" ma:contentTypeVersion="29" ma:contentTypeDescription="Crear nuevo documento." ma:contentTypeScope="" ma:versionID="f778799f1404067d9b409dc217f25359">
  <xsd:schema xmlns:xsd="http://www.w3.org/2001/XMLSchema" xmlns:xs="http://www.w3.org/2001/XMLSchema" xmlns:p="http://schemas.microsoft.com/office/2006/metadata/properties" xmlns:ns2="722f10b2-643e-47be-a301-b891cceeb921" xmlns:ns3="e893431b-ac2f-4a2b-a147-cbd99e410198" targetNamespace="http://schemas.microsoft.com/office/2006/metadata/properties" ma:root="true" ma:fieldsID="7e7281f4b2fa3586ff9c53a421ad2706" ns2:_="" ns3:_="">
    <xsd:import namespace="722f10b2-643e-47be-a301-b891cceeb921"/>
    <xsd:import namespace="e893431b-ac2f-4a2b-a147-cbd99e4101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anzamiento" minOccurs="0"/>
                <xsd:element ref="ns2:POREJE" minOccurs="0"/>
                <xsd:element ref="ns2:POR_x00c1_MBITO" minOccurs="0"/>
                <xsd:element ref="ns2:PORTERRITORIOS" minOccurs="0"/>
                <xsd:element ref="ns2:PORTEMA" minOccurs="0"/>
                <xsd:element ref="ns2:SUBTEMA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FECHA" minOccurs="0"/>
                <xsd:element ref="ns2:MediaServiceLocation" minOccurs="0"/>
                <xsd:element ref="ns2:NEGOCIO" minOccurs="0"/>
                <xsd:element ref="ns2:_x00c1_MBITO" minOccurs="0"/>
                <xsd:element ref="ns2:PROVINCI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2f10b2-643e-47be-a301-b891cceeb9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anzamiento" ma:index="20" nillable="true" ma:displayName="Lanzamiento" ma:format="Dropdown" ma:internalName="Lanzamiento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ODS 3: Salud y Bienestar"/>
                    <xsd:enumeration value="ODS 4: Educación de calidad"/>
                    <xsd:enumeration value="ODS 5: Igualdad de género"/>
                    <xsd:enumeration value="ODS 6: Agua limpia y saneamiento"/>
                    <xsd:enumeration value="ODS 7: Energía asequible y no contaminante"/>
                    <xsd:enumeration value="ODS 8: Trabajo decente y crecimiento económico"/>
                    <xsd:enumeration value="ODS 9: Industria, Innovación e Infraestructura"/>
                    <xsd:enumeration value="ODS 10:  Reducción desigualdades"/>
                    <xsd:enumeration value="ODS 11: Ciudades y comunidades sostenibles"/>
                    <xsd:enumeration value="ODS 12: Producción y consumo responsables"/>
                    <xsd:enumeration value="ODS 13: Acción por el clima"/>
                    <xsd:enumeration value="ODS 14: Vida submarina"/>
                    <xsd:enumeration value="ODS 15: Vida de ecosistemas terrestres"/>
                    <xsd:enumeration value="ODS 16: Paz, justicia e instituciones sólidas"/>
                    <xsd:enumeration value="ODS 17: Alianzas para lograr los objetivos"/>
                  </xsd:restriction>
                </xsd:simpleType>
              </xsd:element>
            </xsd:sequence>
          </xsd:extension>
        </xsd:complexContent>
      </xsd:complexType>
    </xsd:element>
    <xsd:element name="POREJE" ma:index="21" nillable="true" ma:displayName="POR EJE" ma:description="ELEGIR UNO DE LOS EJES DE COMUNICACIÓN A LOS QUE SE REFIERA LA NOTA DE PRENSA" ma:format="Dropdown" ma:internalName="POREJ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ELECTRIFICACIÓN"/>
                        <xsd:enumeration value="ACELERADORES DEL CRECIMIENTO"/>
                        <xsd:enumeration value="PERSONAS"/>
                        <xsd:enumeration value="Opción 4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POR_x00c1_MBITO" ma:index="22" nillable="true" ma:displayName="POR ÁMBITO" ma:format="Dropdown" ma:internalName="POR_x00c1_MBITO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ORPORATIVO"/>
                    <xsd:enumeration value="GENERACIÓN"/>
                    <xsd:enumeration value="DISTRIBUCIÓN"/>
                    <xsd:enumeration value="COMERCIAL"/>
                    <xsd:enumeration value="INSTITUCIONAL"/>
                    <xsd:enumeration value="FUNDACIÓN ENDESA"/>
                    <xsd:enumeration value="FINANCIERO"/>
                    <xsd:enumeration value="REGULACIÓN"/>
                    <xsd:enumeration value="GESTIÓN ENERGÍA"/>
                    <xsd:enumeration value="SOSTENIBILIDAD"/>
                    <xsd:enumeration value="PATROCINIO"/>
                  </xsd:restriction>
                </xsd:simpleType>
              </xsd:element>
            </xsd:sequence>
          </xsd:extension>
        </xsd:complexContent>
      </xsd:complexType>
    </xsd:element>
    <xsd:element name="PORTERRITORIOS" ma:index="23" nillable="true" ma:displayName="POR TERRITORIOS" ma:format="Dropdown" ma:internalName="PORTERRITORIOS">
      <xsd:simpleType>
        <xsd:restriction base="dms:Choice">
          <xsd:enumeration value="CORPORATIVO"/>
          <xsd:enumeration value="SUR"/>
          <xsd:enumeration value="CATALUÑA"/>
          <xsd:enumeration value="NOROESTE"/>
          <xsd:enumeration value="ARAGÓN"/>
          <xsd:enumeration value="BALEARES"/>
          <xsd:enumeration value="CANARIAS"/>
          <xsd:enumeration value="PORTUGAL"/>
          <xsd:enumeration value="OTROS TERRITORIOS"/>
        </xsd:restriction>
      </xsd:simpleType>
    </xsd:element>
    <xsd:element name="PORTEMA" ma:index="24" nillable="true" ma:displayName="POR TEMA" ma:format="Dropdown" ma:internalName="PORTEMA">
      <xsd:simpleType>
        <xsd:restriction base="dms:Choice">
          <xsd:enumeration value="ENERGÍA ASEQUIBLE Y NO CONTAMINANTE"/>
          <xsd:enumeration value="DISTRIBUCIÓN FIABLE Y SEGURA"/>
          <xsd:enumeration value="SERVICIOS ALTA CALIDAD Y TECNOLOGÍA"/>
          <xsd:enumeration value="EMPODERAMIENTO PERSONAS"/>
          <xsd:enumeration value="IMPACTO AMBIENTAL Y SOCIAL"/>
          <xsd:enumeration value="TECNOLOGÍA E INNOVACIÓN"/>
          <xsd:enumeration value="Opción 7"/>
        </xsd:restriction>
      </xsd:simpleType>
    </xsd:element>
    <xsd:element name="SUBTEMA" ma:index="25" nillable="true" ma:displayName="SUBTEMA" ma:description="EJE ELECTRIFICACIÓN&#10;TEMA: ENERGIA ASEQUIBLE Y SEGURA" ma:format="Dropdown" ma:internalName="SUBTEMA">
      <xsd:simpleType>
        <xsd:restriction base="dms:Choice">
          <xsd:enumeration value="RENOVABLES"/>
          <xsd:enumeration value="ALMACENAMIENTO"/>
          <xsd:enumeration value="HIDRÓGENO VERDE"/>
          <xsd:enumeration value="TRANSFORMACIÓN CENTRALES"/>
          <xsd:enumeration value="REDES PARA DESCARBONIZACIÓN Y ELECTRIFICACIÓN"/>
          <xsd:enumeration value="DESARROLLO FUTURO DE LA RED"/>
          <xsd:enumeration value="GRID BLUE SKY"/>
          <xsd:enumeration value="BENEFICIOS ELECTRIFICACIÓN"/>
          <xsd:enumeration value="EXPERIENCIA Y SERVICIO AL CLIENTE"/>
          <xsd:enumeration value="PROPUESTA COMERCIAL INTEGRADA"/>
          <xsd:enumeration value="MOVILIDAD ELECTRICA"/>
          <xsd:enumeration value="SOLUCIONES SOSTENIBILIDAD"/>
          <xsd:enumeration value="SERVICIOS FINANCIEROS"/>
          <xsd:enumeration value="DERECHOS HUMANOS"/>
          <xsd:enumeration value="EMPODERAMIENTO MUJER"/>
          <xsd:enumeration value="DIVERSIDAD Y NEGOCIOS INCLUSIVOS"/>
          <xsd:enumeration value="SEGURIDAD Y SALUD LABORAL"/>
          <xsd:enumeration value="ACCESO A LA ENERGIA"/>
          <xsd:enumeration value="NUEVO MODELO DE TRABAJO"/>
          <xsd:enumeration value="CULTURA, EDUCACIÓN Y DEPORTE"/>
          <xsd:enumeration value="MEDIO AMBIENTE"/>
          <xsd:enumeration value="ECONOMIA CIRCULAR Y MATERIALES"/>
          <xsd:enumeration value="CADENA VALOR SOSTENIBLE"/>
          <xsd:enumeration value="FINANZAS SOSTENIBLES"/>
          <xsd:enumeration value="PLATAFORMAS, AUTOMATIZACIÓN, DIGITALIZACIÓN Y CIBERSGURIDAD"/>
          <xsd:enumeration value="NUEVAS TECNOLOGÍAS"/>
          <xsd:enumeration value="NEGOCIO DATOS"/>
          <xsd:enumeration value="ECOSISTEMA INNOV ABIERTA"/>
          <xsd:enumeration value="Opción 29"/>
        </xsd:restriction>
      </xsd:simpleType>
    </xsd:element>
    <xsd:element name="lcf76f155ced4ddcb4097134ff3c332f" ma:index="27" nillable="true" ma:taxonomy="true" ma:internalName="lcf76f155ced4ddcb4097134ff3c332f" ma:taxonomyFieldName="MediaServiceImageTags" ma:displayName="Etiquetas de imagen" ma:readOnly="false" ma:fieldId="{5cf76f15-5ced-4ddc-b409-7134ff3c332f}" ma:taxonomyMulti="true" ma:sspId="ba5ac2a7-3560-40f7-821c-bf6f1f0e00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FECHA" ma:index="31" nillable="true" ma:displayName="FECHA" ma:description="FECHA PUBLICACIÓN" ma:format="DateOnly" ma:internalName="FECHA">
      <xsd:simpleType>
        <xsd:restriction base="dms:DateTime"/>
      </xsd:simpleType>
    </xsd:element>
    <xsd:element name="MediaServiceLocation" ma:index="32" nillable="true" ma:displayName="Location" ma:indexed="true" ma:internalName="MediaServiceLocation" ma:readOnly="true">
      <xsd:simpleType>
        <xsd:restriction base="dms:Text"/>
      </xsd:simpleType>
    </xsd:element>
    <xsd:element name="NEGOCIO" ma:index="33" nillable="true" ma:displayName="NEGOCIO" ma:format="Dropdown" ma:internalName="NEGOCIO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GENERACIÓN"/>
                    <xsd:enumeration value="DISTRIBUCIÓN"/>
                    <xsd:enumeration value="COMERCIAL"/>
                    <xsd:enumeration value="INSTITUCIONAL"/>
                    <xsd:enumeration value="CORPORATIVO"/>
                  </xsd:restriction>
                </xsd:simpleType>
              </xsd:element>
            </xsd:sequence>
          </xsd:extension>
        </xsd:complexContent>
      </xsd:complexType>
    </xsd:element>
    <xsd:element name="_x00c1_MBITO" ma:index="34" nillable="true" ma:displayName="ÁMBITO" ma:format="Dropdown" ma:internalName="_x00c1_MBITO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GEN. RENOVABLE"/>
                    <xsd:enumeration value="GEN. CONVENCIONAL"/>
                    <xsd:enumeration value="SOSTENIBILIDAD (GEN.)"/>
                    <xsd:enumeration value="TRANS. ENERGÉTICA"/>
                    <xsd:enumeration value="O&amp;M REDES"/>
                    <xsd:enumeration value="DESARROLLOS RED"/>
                    <xsd:enumeration value="NUEVOS SUMINISTROS"/>
                    <xsd:enumeration value="INCIDENCIAS"/>
                    <xsd:enumeration value="PROCEDIMIENTOS / SANCIONES"/>
                    <xsd:enumeration value="FRAUDE"/>
                    <xsd:enumeration value="SOSTENIBILIDAD (REDES)"/>
                    <xsd:enumeration value="HSQ"/>
                    <xsd:enumeration value="CLIENTES (ACCESO RED)"/>
                    <xsd:enumeration value="B2B / EMPRESAS"/>
                    <xsd:enumeration value="B2C / PARTICULARES"/>
                    <xsd:enumeration value="B2G / AAPP"/>
                    <xsd:enumeration value="MOVILIDAD ELÉCTRICA"/>
                    <xsd:enumeration value="REPRESENTACIÓN INST."/>
                    <xsd:enumeration value="REGULACIÓN"/>
                    <xsd:enumeration value="FUNDACIÓN"/>
                    <xsd:enumeration value="MEDIOAMBIENTE"/>
                    <xsd:enumeration value="COMPRAS Y APROVISIONAMIENTO"/>
                    <xsd:enumeration value="PATROCINIOS"/>
                    <xsd:enumeration value="GESTIÓN DE LA ENERGÍA"/>
                    <xsd:enumeration value="FINANCIERO"/>
                    <xsd:enumeration value="RRHH"/>
                    <xsd:enumeration value="MEDIOS / SEDES CORPORATIVAS"/>
                    <xsd:enumeration value="INTERNACIONAL"/>
                    <xsd:enumeration value="MARCA"/>
                  </xsd:restriction>
                </xsd:simpleType>
              </xsd:element>
            </xsd:sequence>
          </xsd:extension>
        </xsd:complexContent>
      </xsd:complexType>
    </xsd:element>
    <xsd:element name="PROVINCIA" ma:index="35" nillable="true" ma:displayName="PROVINCIA" ma:format="Dropdown" ma:internalName="PROVINCIA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NDALUCÍA"/>
                    <xsd:enumeration value="Almería"/>
                    <xsd:enumeration value="Cádiz"/>
                    <xsd:enumeration value="Córdoba"/>
                    <xsd:enumeration value="Granada"/>
                    <xsd:enumeration value="Huelva"/>
                    <xsd:enumeration value="Jaén"/>
                    <xsd:enumeration value="Málaga"/>
                    <xsd:enumeration value="Sevilla"/>
                    <xsd:enumeration value="EXTREMADURA"/>
                    <xsd:enumeration value="Badajoz"/>
                    <xsd:enumeration value="Cáceres"/>
                    <xsd:enumeration value="CEUTA"/>
                    <xsd:enumeration value="MELILLA"/>
                    <xsd:enumeration value="CATALUNYA"/>
                    <xsd:enumeration value="Barcelona"/>
                    <xsd:enumeration value="Catalunya Central"/>
                    <xsd:enumeration value="Girona"/>
                    <xsd:enumeration value="Lleida"/>
                    <xsd:enumeration value="Tarragona nord"/>
                    <xsd:enumeration value="Tarragona sud"/>
                    <xsd:enumeration value="Vallès Occidental"/>
                    <xsd:enumeration value="Vallès Oriental - Maresme"/>
                    <xsd:enumeration value="ARAGÓN"/>
                    <xsd:enumeration value="Huesca"/>
                    <xsd:enumeration value="Teruel"/>
                    <xsd:enumeration value="Zaragoza"/>
                    <xsd:enumeration value="BALEARES"/>
                    <xsd:enumeration value="CANARIAS"/>
                    <xsd:enumeration value="NACIONAL"/>
                    <xsd:enumeration value="NOROESTE"/>
                    <xsd:enumeration value="PORTUGAL"/>
                    <xsd:enumeration value="OTROS"/>
                    <xsd:enumeration value="Castilla y León"/>
                    <xsd:enumeration value="Castilla-La Mancha"/>
                    <xsd:enumeration value="Murcia"/>
                    <xsd:enumeration value="Otros (Asturias, Valencia, etc.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93431b-ac2f-4a2b-a147-cbd99e41019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8" nillable="true" ma:displayName="Taxonomy Catch All Column" ma:hidden="true" ma:list="{2c5b8ef2-bfed-4a02-960f-0306a8ff7c8a}" ma:internalName="TaxCatchAll" ma:showField="CatchAllData" ma:web="e893431b-ac2f-4a2b-a147-cbd99e4101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022633D-F6B7-44CF-90D2-A414DCF0B9AD}">
  <ds:schemaRefs>
    <ds:schemaRef ds:uri="http://schemas.microsoft.com/office/2006/metadata/properties"/>
    <ds:schemaRef ds:uri="http://schemas.microsoft.com/office/infopath/2007/PartnerControls"/>
    <ds:schemaRef ds:uri="31d27c83-554b-4302-8069-68c50e2d2c44"/>
    <ds:schemaRef ds:uri="1d08d24b-01a5-4637-b7d8-1336718df8ff"/>
  </ds:schemaRefs>
</ds:datastoreItem>
</file>

<file path=customXml/itemProps2.xml><?xml version="1.0" encoding="utf-8"?>
<ds:datastoreItem xmlns:ds="http://schemas.openxmlformats.org/officeDocument/2006/customXml" ds:itemID="{0474304B-0FD4-4CB4-B1B8-F0FB62B9D896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D5D431AC-D007-49B3-B538-5E4CC4731A7B}"/>
</file>

<file path=customXml/itemProps4.xml><?xml version="1.0" encoding="utf-8"?>
<ds:datastoreItem xmlns:ds="http://schemas.openxmlformats.org/officeDocument/2006/customXml" ds:itemID="{4DEAB1E9-EA3C-40AC-A165-C03B271F619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5A22B7D-4418-45AB-AF0A-D752A8209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Endesa_stationery_pressReleaseTemplate_ESP</Template>
  <TotalTime>7</TotalTime>
  <Pages>5</Pages>
  <Words>2781</Words>
  <Characters>15020</Characters>
  <Application>Microsoft Office Word</Application>
  <DocSecurity>0</DocSecurity>
  <Lines>125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17766</CharactersWithSpaces>
  <SharedDoc>false</SharedDoc>
  <HLinks>
    <vt:vector size="36" baseType="variant">
      <vt:variant>
        <vt:i4>2162734</vt:i4>
      </vt:variant>
      <vt:variant>
        <vt:i4>15</vt:i4>
      </vt:variant>
      <vt:variant>
        <vt:i4>0</vt:i4>
      </vt:variant>
      <vt:variant>
        <vt:i4>5</vt:i4>
      </vt:variant>
      <vt:variant>
        <vt:lpwstr>https://www.enel.com/es</vt:lpwstr>
      </vt:variant>
      <vt:variant>
        <vt:lpwstr/>
      </vt:variant>
      <vt:variant>
        <vt:i4>2556003</vt:i4>
      </vt:variant>
      <vt:variant>
        <vt:i4>12</vt:i4>
      </vt:variant>
      <vt:variant>
        <vt:i4>0</vt:i4>
      </vt:variant>
      <vt:variant>
        <vt:i4>5</vt:i4>
      </vt:variant>
      <vt:variant>
        <vt:lpwstr>http://www.fundacionendesa.org/</vt:lpwstr>
      </vt:variant>
      <vt:variant>
        <vt:lpwstr/>
      </vt:variant>
      <vt:variant>
        <vt:i4>4390984</vt:i4>
      </vt:variant>
      <vt:variant>
        <vt:i4>9</vt:i4>
      </vt:variant>
      <vt:variant>
        <vt:i4>0</vt:i4>
      </vt:variant>
      <vt:variant>
        <vt:i4>5</vt:i4>
      </vt:variant>
      <vt:variant>
        <vt:lpwstr>https://www.enelgreenpower.com/es</vt:lpwstr>
      </vt:variant>
      <vt:variant>
        <vt:lpwstr/>
      </vt:variant>
      <vt:variant>
        <vt:i4>2949237</vt:i4>
      </vt:variant>
      <vt:variant>
        <vt:i4>6</vt:i4>
      </vt:variant>
      <vt:variant>
        <vt:i4>0</vt:i4>
      </vt:variant>
      <vt:variant>
        <vt:i4>5</vt:i4>
      </vt:variant>
      <vt:variant>
        <vt:lpwstr>https://www.endesa.com/es/nuestro-compromiso/nuestro-compromiso/objetivos-desarrollo-sostenible</vt:lpwstr>
      </vt:variant>
      <vt:variant>
        <vt:lpwstr/>
      </vt:variant>
      <vt:variant>
        <vt:i4>3014755</vt:i4>
      </vt:variant>
      <vt:variant>
        <vt:i4>3</vt:i4>
      </vt:variant>
      <vt:variant>
        <vt:i4>0</vt:i4>
      </vt:variant>
      <vt:variant>
        <vt:i4>5</vt:i4>
      </vt:variant>
      <vt:variant>
        <vt:lpwstr>http://endesaxway.com/</vt:lpwstr>
      </vt:variant>
      <vt:variant>
        <vt:lpwstr/>
      </vt:variant>
      <vt:variant>
        <vt:i4>4128801</vt:i4>
      </vt:variant>
      <vt:variant>
        <vt:i4>0</vt:i4>
      </vt:variant>
      <vt:variant>
        <vt:i4>0</vt:i4>
      </vt:variant>
      <vt:variant>
        <vt:i4>5</vt:i4>
      </vt:variant>
      <vt:variant>
        <vt:lpwstr>https://www.endesax.com/es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Piza De Silva, Carlos</dc:creator>
  <cp:keywords/>
  <cp:lastModifiedBy>Sara Dossantos</cp:lastModifiedBy>
  <cp:revision>7</cp:revision>
  <cp:lastPrinted>2024-11-15T08:25:00Z</cp:lastPrinted>
  <dcterms:created xsi:type="dcterms:W3CDTF">2024-11-19T07:15:00Z</dcterms:created>
  <dcterms:modified xsi:type="dcterms:W3CDTF">2024-11-19T09:01:00Z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SharedWithUsers">
    <vt:lpwstr>Llata Lavín, Julia María</vt:lpwstr>
  </property>
  <property fmtid="{D5CDD505-2E9C-101B-9397-08002B2CF9AE}" pid="3" name="SharedWithUsers">
    <vt:lpwstr>54;#Llata Lavín, Julia María</vt:lpwstr>
  </property>
  <property fmtid="{D5CDD505-2E9C-101B-9397-08002B2CF9AE}" pid="4" name="ContentTypeId">
    <vt:lpwstr>0x0101005D01D74F48518C498758E06E9B0C0BF2</vt:lpwstr>
  </property>
  <property fmtid="{D5CDD505-2E9C-101B-9397-08002B2CF9AE}" pid="5" name="MediaServiceImageTags">
    <vt:lpwstr/>
  </property>
  <property fmtid="{D5CDD505-2E9C-101B-9397-08002B2CF9AE}" pid="6" name="MSIP_Label_797ad33d-ed35-43c0-b526-22bc83c17deb_Enabled">
    <vt:lpwstr>true</vt:lpwstr>
  </property>
  <property fmtid="{D5CDD505-2E9C-101B-9397-08002B2CF9AE}" pid="7" name="MSIP_Label_797ad33d-ed35-43c0-b526-22bc83c17deb_SetDate">
    <vt:lpwstr>2023-10-26T11:14:46Z</vt:lpwstr>
  </property>
  <property fmtid="{D5CDD505-2E9C-101B-9397-08002B2CF9AE}" pid="8" name="MSIP_Label_797ad33d-ed35-43c0-b526-22bc83c17deb_Method">
    <vt:lpwstr>Standard</vt:lpwstr>
  </property>
  <property fmtid="{D5CDD505-2E9C-101B-9397-08002B2CF9AE}" pid="9" name="MSIP_Label_797ad33d-ed35-43c0-b526-22bc83c17deb_Name">
    <vt:lpwstr>797ad33d-ed35-43c0-b526-22bc83c17deb</vt:lpwstr>
  </property>
  <property fmtid="{D5CDD505-2E9C-101B-9397-08002B2CF9AE}" pid="10" name="MSIP_Label_797ad33d-ed35-43c0-b526-22bc83c17deb_SiteId">
    <vt:lpwstr>d539d4bf-5610-471a-afc2-1c76685cfefa</vt:lpwstr>
  </property>
  <property fmtid="{D5CDD505-2E9C-101B-9397-08002B2CF9AE}" pid="11" name="MSIP_Label_797ad33d-ed35-43c0-b526-22bc83c17deb_ActionId">
    <vt:lpwstr>a64f3a20-b238-45d1-ba60-a81d3fc92e61</vt:lpwstr>
  </property>
  <property fmtid="{D5CDD505-2E9C-101B-9397-08002B2CF9AE}" pid="12" name="MSIP_Label_797ad33d-ed35-43c0-b526-22bc83c17deb_ContentBits">
    <vt:lpwstr>1</vt:lpwstr>
  </property>
</Properties>
</file>