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70164" w14:textId="77777777" w:rsidR="009F3B3F" w:rsidRDefault="009F3B3F" w:rsidP="00DF2B5A">
      <w:pPr>
        <w:jc w:val="center"/>
        <w:rPr>
          <w:b/>
          <w:bCs/>
        </w:rPr>
      </w:pPr>
    </w:p>
    <w:p w14:paraId="3622A701" w14:textId="77777777" w:rsidR="009F3B3F" w:rsidRDefault="009F3B3F" w:rsidP="00DF2B5A">
      <w:pPr>
        <w:jc w:val="center"/>
        <w:rPr>
          <w:b/>
          <w:bCs/>
        </w:rPr>
      </w:pPr>
    </w:p>
    <w:p w14:paraId="0B5C466E" w14:textId="77777777" w:rsidR="009F3B3F" w:rsidRDefault="009F3B3F" w:rsidP="00DF2B5A">
      <w:pPr>
        <w:jc w:val="center"/>
        <w:rPr>
          <w:b/>
          <w:bCs/>
        </w:rPr>
      </w:pPr>
    </w:p>
    <w:p w14:paraId="0EE3E296" w14:textId="77777777" w:rsidR="009F3B3F" w:rsidRDefault="009F3B3F" w:rsidP="00DF2B5A">
      <w:pPr>
        <w:jc w:val="center"/>
        <w:rPr>
          <w:b/>
          <w:bCs/>
        </w:rPr>
      </w:pPr>
    </w:p>
    <w:p w14:paraId="580422BE" w14:textId="77777777" w:rsidR="00493ECE" w:rsidRDefault="00493ECE" w:rsidP="00DF2B5A">
      <w:pPr>
        <w:jc w:val="center"/>
        <w:rPr>
          <w:b/>
          <w:bCs/>
        </w:rPr>
      </w:pPr>
    </w:p>
    <w:p w14:paraId="23591914" w14:textId="77777777" w:rsidR="00493ECE" w:rsidRDefault="00493ECE" w:rsidP="00DF2B5A">
      <w:pPr>
        <w:jc w:val="center"/>
        <w:rPr>
          <w:b/>
          <w:bCs/>
        </w:rPr>
      </w:pPr>
    </w:p>
    <w:p w14:paraId="1834A876" w14:textId="31B5B7CE" w:rsidR="00B3467A" w:rsidRDefault="00DF2B5A" w:rsidP="00DF2B5A">
      <w:pPr>
        <w:jc w:val="center"/>
        <w:rPr>
          <w:b/>
          <w:bCs/>
        </w:rPr>
      </w:pPr>
      <w:r w:rsidRPr="00DF2B5A">
        <w:rPr>
          <w:b/>
          <w:bCs/>
        </w:rPr>
        <w:t xml:space="preserve">Endesa e Instituto Politécnico de Tomar lançam </w:t>
      </w:r>
      <w:r w:rsidR="00782DB7">
        <w:rPr>
          <w:b/>
          <w:bCs/>
        </w:rPr>
        <w:t>segundo</w:t>
      </w:r>
      <w:r w:rsidRPr="00DF2B5A">
        <w:rPr>
          <w:b/>
          <w:bCs/>
        </w:rPr>
        <w:t xml:space="preserve"> curso de energias renováveis</w:t>
      </w:r>
    </w:p>
    <w:p w14:paraId="5E044C85" w14:textId="2E5756FB" w:rsidR="00DF2B5A" w:rsidRDefault="004411ED" w:rsidP="006F295A">
      <w:pPr>
        <w:pStyle w:val="PargrafodaLista"/>
        <w:numPr>
          <w:ilvl w:val="0"/>
          <w:numId w:val="4"/>
        </w:numPr>
        <w:jc w:val="both"/>
      </w:pPr>
      <w:r w:rsidRPr="004411ED">
        <w:t>O Curso de Técnico Superior Profissional em Energias Renováveis foi desenhado em conjunto com a Endesa</w:t>
      </w:r>
      <w:r w:rsidR="00CE56CB">
        <w:t>, no âmbito do Projeto de Transição Justa do Pego, de forma a contemplar todos os conhecimentos necessários para este setor.</w:t>
      </w:r>
    </w:p>
    <w:p w14:paraId="0079A03A" w14:textId="1A1CDDD1" w:rsidR="00CE56CB" w:rsidRDefault="005105FE" w:rsidP="006F295A">
      <w:pPr>
        <w:pStyle w:val="PargrafodaLista"/>
        <w:numPr>
          <w:ilvl w:val="0"/>
          <w:numId w:val="4"/>
        </w:numPr>
        <w:jc w:val="both"/>
      </w:pPr>
      <w:r>
        <w:t>O curso é composto por 708 horas presenciais e 640 horas de formação em contexto de trabalho (estágio)</w:t>
      </w:r>
      <w:r w:rsidR="006F295A">
        <w:t>. A Endesa proporciona a possibilidade de realização de um número significativo de estágios nos seus parques sempre que possível.</w:t>
      </w:r>
    </w:p>
    <w:p w14:paraId="0BBBCB30" w14:textId="7E2643C5" w:rsidR="00840BA9" w:rsidRPr="00C43DD6" w:rsidRDefault="00C43DD6" w:rsidP="006F295A">
      <w:pPr>
        <w:pStyle w:val="PargrafodaLista"/>
        <w:numPr>
          <w:ilvl w:val="0"/>
          <w:numId w:val="4"/>
        </w:numPr>
        <w:jc w:val="both"/>
      </w:pPr>
      <w:r w:rsidRPr="00C43DD6">
        <w:rPr>
          <w:iCs/>
        </w:rPr>
        <w:t>Curso Técnico Superior Profissional (</w:t>
      </w:r>
      <w:proofErr w:type="spellStart"/>
      <w:r w:rsidRPr="00C43DD6">
        <w:rPr>
          <w:iCs/>
        </w:rPr>
        <w:t>CTeSP</w:t>
      </w:r>
      <w:proofErr w:type="spellEnd"/>
      <w:r w:rsidRPr="00C43DD6">
        <w:rPr>
          <w:iCs/>
        </w:rPr>
        <w:t>), que confere uma Qualificação Profissional de Nível V, dando acesso às Licenciaturas do Instituto Politécnico de Tomar (dispensando a candidatura ao Concurso Nacional de Acesso</w:t>
      </w:r>
      <w:r>
        <w:rPr>
          <w:iCs/>
        </w:rPr>
        <w:t>).</w:t>
      </w:r>
    </w:p>
    <w:p w14:paraId="2CED02DB" w14:textId="6D98DBB0" w:rsidR="003F378E" w:rsidRDefault="003F378E" w:rsidP="00A2076A">
      <w:pPr>
        <w:pStyle w:val="PargrafodaLista"/>
        <w:numPr>
          <w:ilvl w:val="0"/>
          <w:numId w:val="4"/>
        </w:numPr>
        <w:jc w:val="both"/>
      </w:pPr>
      <w:r w:rsidRPr="003F378E">
        <w:t xml:space="preserve">Segundo o relatório </w:t>
      </w:r>
      <w:r w:rsidRPr="003F378E">
        <w:rPr>
          <w:i/>
          <w:iCs/>
        </w:rPr>
        <w:t>“</w:t>
      </w:r>
      <w:proofErr w:type="spellStart"/>
      <w:r w:rsidRPr="003F378E">
        <w:rPr>
          <w:i/>
          <w:iCs/>
        </w:rPr>
        <w:t>Renewable</w:t>
      </w:r>
      <w:proofErr w:type="spellEnd"/>
      <w:r w:rsidRPr="003F378E">
        <w:rPr>
          <w:i/>
          <w:iCs/>
        </w:rPr>
        <w:t xml:space="preserve"> </w:t>
      </w:r>
      <w:proofErr w:type="spellStart"/>
      <w:r w:rsidRPr="003F378E">
        <w:rPr>
          <w:i/>
          <w:iCs/>
        </w:rPr>
        <w:t>Energy</w:t>
      </w:r>
      <w:proofErr w:type="spellEnd"/>
      <w:r w:rsidRPr="003F378E">
        <w:rPr>
          <w:i/>
          <w:iCs/>
        </w:rPr>
        <w:t xml:space="preserve"> </w:t>
      </w:r>
      <w:proofErr w:type="spellStart"/>
      <w:r w:rsidRPr="003F378E">
        <w:rPr>
          <w:i/>
          <w:iCs/>
        </w:rPr>
        <w:t>and</w:t>
      </w:r>
      <w:proofErr w:type="spellEnd"/>
      <w:r w:rsidRPr="003F378E">
        <w:rPr>
          <w:i/>
          <w:iCs/>
        </w:rPr>
        <w:t xml:space="preserve"> Jobs: </w:t>
      </w:r>
      <w:proofErr w:type="spellStart"/>
      <w:r w:rsidRPr="003F378E">
        <w:rPr>
          <w:i/>
          <w:iCs/>
        </w:rPr>
        <w:t>Annual</w:t>
      </w:r>
      <w:proofErr w:type="spellEnd"/>
      <w:r w:rsidRPr="003F378E">
        <w:rPr>
          <w:i/>
          <w:iCs/>
        </w:rPr>
        <w:t xml:space="preserve"> </w:t>
      </w:r>
      <w:proofErr w:type="spellStart"/>
      <w:r w:rsidRPr="003F378E">
        <w:rPr>
          <w:i/>
          <w:iCs/>
        </w:rPr>
        <w:t>Review</w:t>
      </w:r>
      <w:proofErr w:type="spellEnd"/>
      <w:r w:rsidRPr="003F378E">
        <w:rPr>
          <w:i/>
          <w:iCs/>
        </w:rPr>
        <w:t xml:space="preserve"> 2023”</w:t>
      </w:r>
      <w:r w:rsidRPr="003F378E">
        <w:t xml:space="preserve"> da </w:t>
      </w:r>
      <w:proofErr w:type="spellStart"/>
      <w:r w:rsidRPr="003F378E">
        <w:rPr>
          <w:i/>
          <w:iCs/>
        </w:rPr>
        <w:t>The</w:t>
      </w:r>
      <w:proofErr w:type="spellEnd"/>
      <w:r w:rsidRPr="003F378E">
        <w:rPr>
          <w:i/>
          <w:iCs/>
        </w:rPr>
        <w:t xml:space="preserve"> </w:t>
      </w:r>
      <w:proofErr w:type="spellStart"/>
      <w:r w:rsidRPr="003F378E">
        <w:rPr>
          <w:i/>
          <w:iCs/>
        </w:rPr>
        <w:t>International</w:t>
      </w:r>
      <w:proofErr w:type="spellEnd"/>
      <w:r w:rsidRPr="003F378E">
        <w:rPr>
          <w:i/>
          <w:iCs/>
        </w:rPr>
        <w:t xml:space="preserve"> </w:t>
      </w:r>
      <w:proofErr w:type="spellStart"/>
      <w:r w:rsidRPr="003F378E">
        <w:rPr>
          <w:i/>
          <w:iCs/>
        </w:rPr>
        <w:t>Renewable</w:t>
      </w:r>
      <w:proofErr w:type="spellEnd"/>
      <w:r w:rsidRPr="003F378E">
        <w:rPr>
          <w:i/>
          <w:iCs/>
        </w:rPr>
        <w:t xml:space="preserve"> </w:t>
      </w:r>
      <w:proofErr w:type="spellStart"/>
      <w:r w:rsidRPr="003F378E">
        <w:rPr>
          <w:i/>
          <w:iCs/>
        </w:rPr>
        <w:t>Energy</w:t>
      </w:r>
      <w:proofErr w:type="spellEnd"/>
      <w:r w:rsidRPr="003F378E">
        <w:rPr>
          <w:i/>
          <w:iCs/>
        </w:rPr>
        <w:t xml:space="preserve"> </w:t>
      </w:r>
      <w:proofErr w:type="spellStart"/>
      <w:r w:rsidRPr="003F378E">
        <w:rPr>
          <w:i/>
          <w:iCs/>
        </w:rPr>
        <w:t>Agency</w:t>
      </w:r>
      <w:proofErr w:type="spellEnd"/>
      <w:r w:rsidRPr="003F378E">
        <w:t xml:space="preserve"> (IRENA), o setor das e</w:t>
      </w:r>
      <w:r>
        <w:t>nergias renováveis</w:t>
      </w:r>
      <w:r w:rsidR="003D2557">
        <w:t xml:space="preserve"> empregou 13,7 milhões de pessoas em todo o mundo em 2022, um aumento de 1 milhão em relação a 2021.</w:t>
      </w:r>
    </w:p>
    <w:p w14:paraId="5A5311DC" w14:textId="724E995B" w:rsidR="00552ABF" w:rsidRPr="00C47661" w:rsidRDefault="002656AC" w:rsidP="00552ABF">
      <w:pPr>
        <w:pStyle w:val="PargrafodaLista"/>
        <w:numPr>
          <w:ilvl w:val="0"/>
          <w:numId w:val="4"/>
        </w:numPr>
        <w:jc w:val="both"/>
        <w:rPr>
          <w:b/>
          <w:bCs/>
        </w:rPr>
      </w:pPr>
      <w:r>
        <w:t xml:space="preserve">As candidaturas estão abertas até </w:t>
      </w:r>
      <w:r w:rsidRPr="002656AC">
        <w:rPr>
          <w:b/>
          <w:bCs/>
        </w:rPr>
        <w:t>2 de outubro de 2024</w:t>
      </w:r>
      <w:r>
        <w:t>.</w:t>
      </w:r>
      <w:r w:rsidR="00450109">
        <w:t xml:space="preserve"> </w:t>
      </w:r>
      <w:r w:rsidR="00450109" w:rsidRPr="00F638D2">
        <w:t>O curso terá início</w:t>
      </w:r>
      <w:r w:rsidR="00F638D2" w:rsidRPr="00F638D2">
        <w:t xml:space="preserve"> a </w:t>
      </w:r>
      <w:r w:rsidR="00F638D2" w:rsidRPr="00C47661">
        <w:rPr>
          <w:b/>
          <w:bCs/>
        </w:rPr>
        <w:t>21 de outubro</w:t>
      </w:r>
      <w:r w:rsidR="000517AA" w:rsidRPr="00C47661">
        <w:rPr>
          <w:b/>
          <w:bCs/>
        </w:rPr>
        <w:t xml:space="preserve"> de 2024.</w:t>
      </w:r>
    </w:p>
    <w:p w14:paraId="6BA7C1D1" w14:textId="35950239" w:rsidR="00F36FBE" w:rsidRDefault="00200912" w:rsidP="00A2076A">
      <w:pPr>
        <w:jc w:val="both"/>
      </w:pPr>
      <w:r>
        <w:rPr>
          <w:b/>
          <w:bCs/>
        </w:rPr>
        <w:t xml:space="preserve">Abrantes, </w:t>
      </w:r>
      <w:r w:rsidR="00DF2F34">
        <w:rPr>
          <w:b/>
          <w:bCs/>
        </w:rPr>
        <w:t>24</w:t>
      </w:r>
      <w:r>
        <w:rPr>
          <w:b/>
          <w:bCs/>
        </w:rPr>
        <w:t xml:space="preserve"> de setembro de 2024 </w:t>
      </w:r>
      <w:r w:rsidR="00A2076A">
        <w:rPr>
          <w:b/>
          <w:bCs/>
        </w:rPr>
        <w:t>–</w:t>
      </w:r>
      <w:r>
        <w:rPr>
          <w:b/>
          <w:bCs/>
        </w:rPr>
        <w:t xml:space="preserve"> </w:t>
      </w:r>
      <w:r w:rsidR="006A15F1">
        <w:t xml:space="preserve">O Instituto Politécnico de Tomar (IPT) lança, em conjunto com a Endesa, </w:t>
      </w:r>
      <w:r w:rsidR="00E979BA">
        <w:t xml:space="preserve">e pelo segundo ano, </w:t>
      </w:r>
      <w:r w:rsidR="006A15F1">
        <w:t xml:space="preserve">um novo curso de </w:t>
      </w:r>
      <w:r w:rsidR="006A15F1" w:rsidRPr="00E979BA">
        <w:rPr>
          <w:b/>
          <w:bCs/>
        </w:rPr>
        <w:t>Técnico Superior Profissional em Energias Renováveis</w:t>
      </w:r>
      <w:r w:rsidR="00DA13B3">
        <w:t>. O curso foi desenhado em parceria com a Endesa, com o objetivo de dar suporte ao Projeto de Transição Justa do Pego</w:t>
      </w:r>
      <w:r w:rsidR="005C0DEA">
        <w:t xml:space="preserve">, </w:t>
      </w:r>
      <w:r w:rsidR="0065787F">
        <w:t xml:space="preserve">e </w:t>
      </w:r>
      <w:r w:rsidR="005C0DEA">
        <w:t>de forma a contemplar os conhecimentos necessários para o setor de energias renováveis.</w:t>
      </w:r>
    </w:p>
    <w:p w14:paraId="091E5182" w14:textId="37D573BF" w:rsidR="00DD4192" w:rsidRPr="00F10663" w:rsidRDefault="00DD4192" w:rsidP="00A2076A">
      <w:pPr>
        <w:jc w:val="both"/>
        <w:rPr>
          <w:b/>
          <w:bCs/>
          <w:u w:val="single"/>
        </w:rPr>
      </w:pPr>
      <w:r>
        <w:t xml:space="preserve">A parte letiva do curso é composta por 708 horas presenciais e 640 horas de formação em contexto de trabalho (estágio). </w:t>
      </w:r>
      <w:r w:rsidR="00E25AED">
        <w:t>A Endesa proporcionará a possibilidade de realização de um número significativo de estágios nos seus parques sempre que possível. As candidaturas são realizadas online através do portal de candidaturas do IPT,</w:t>
      </w:r>
      <w:r w:rsidR="00F10663">
        <w:t xml:space="preserve"> e terminam a</w:t>
      </w:r>
      <w:r w:rsidR="002656AC">
        <w:t xml:space="preserve"> </w:t>
      </w:r>
      <w:r w:rsidR="002656AC" w:rsidRPr="002656AC">
        <w:rPr>
          <w:b/>
          <w:bCs/>
        </w:rPr>
        <w:t>2 de outubro de 2024</w:t>
      </w:r>
      <w:r w:rsidR="002656AC" w:rsidRPr="00C47661">
        <w:rPr>
          <w:b/>
          <w:bCs/>
        </w:rPr>
        <w:t>.</w:t>
      </w:r>
      <w:r w:rsidR="00F10663" w:rsidRPr="00C47661">
        <w:t xml:space="preserve"> </w:t>
      </w:r>
      <w:r w:rsidR="000517AA" w:rsidRPr="00C47661">
        <w:t>O curso terá início</w:t>
      </w:r>
      <w:r w:rsidR="000D439E" w:rsidRPr="00C47661">
        <w:t xml:space="preserve"> a </w:t>
      </w:r>
      <w:r w:rsidR="000D439E" w:rsidRPr="00C47661">
        <w:rPr>
          <w:b/>
          <w:bCs/>
        </w:rPr>
        <w:t>21 de outubro de 2024</w:t>
      </w:r>
      <w:r w:rsidR="008748F2" w:rsidRPr="00C47661">
        <w:t>.</w:t>
      </w:r>
    </w:p>
    <w:p w14:paraId="435CE479" w14:textId="3C142DEF" w:rsidR="009D1E81" w:rsidRPr="009D1E81" w:rsidRDefault="008B4C87" w:rsidP="009D1E81">
      <w:pPr>
        <w:jc w:val="both"/>
      </w:pPr>
      <w:r>
        <w:t>O Curso Técnico Superior Profissional (</w:t>
      </w:r>
      <w:proofErr w:type="spellStart"/>
      <w:r>
        <w:t>CTeSP</w:t>
      </w:r>
      <w:proofErr w:type="spellEnd"/>
      <w:r>
        <w:t>), confere uma Qualificação Profissional de Nível V, que dá acesso via concurso interno a diversas licenciaturas do IPT (dispensando a candidatura ao Concurso Nacional de Acesso).</w:t>
      </w:r>
      <w:bookmarkStart w:id="0" w:name="_Hlk152748791"/>
    </w:p>
    <w:p w14:paraId="20ACF0E8" w14:textId="2C426196" w:rsidR="009D1E81" w:rsidRPr="009D1E81" w:rsidRDefault="009D1E81" w:rsidP="009D1E81">
      <w:pPr>
        <w:jc w:val="both"/>
      </w:pPr>
      <w:r w:rsidRPr="009D1E81">
        <w:t xml:space="preserve">Os interessados encontrarão informação sobre o montante dos emolumentos e das propinas no portal do IPT, em </w:t>
      </w:r>
      <w:hyperlink r:id="rId10" w:history="1">
        <w:r w:rsidRPr="009D1E81">
          <w:rPr>
            <w:rStyle w:val="Hiperligao"/>
          </w:rPr>
          <w:t>https://www.ipt.pt</w:t>
        </w:r>
      </w:hyperlink>
      <w:r w:rsidRPr="009D1E81">
        <w:t xml:space="preserve">. </w:t>
      </w:r>
      <w:bookmarkEnd w:id="0"/>
    </w:p>
    <w:p w14:paraId="1BD29B1C" w14:textId="77777777" w:rsidR="002656AC" w:rsidRDefault="002656AC" w:rsidP="009D1E81">
      <w:pPr>
        <w:jc w:val="both"/>
        <w:rPr>
          <w:b/>
          <w:bCs/>
        </w:rPr>
      </w:pPr>
    </w:p>
    <w:p w14:paraId="6B4B3EE6" w14:textId="77777777" w:rsidR="002656AC" w:rsidRDefault="002656AC" w:rsidP="009D1E81">
      <w:pPr>
        <w:jc w:val="both"/>
        <w:rPr>
          <w:b/>
          <w:bCs/>
        </w:rPr>
      </w:pPr>
    </w:p>
    <w:p w14:paraId="107C34CD" w14:textId="77777777" w:rsidR="002656AC" w:rsidRDefault="002656AC" w:rsidP="009D1E81">
      <w:pPr>
        <w:jc w:val="both"/>
        <w:rPr>
          <w:b/>
          <w:bCs/>
        </w:rPr>
      </w:pPr>
    </w:p>
    <w:p w14:paraId="5BFE4C3B" w14:textId="77777777" w:rsidR="002656AC" w:rsidRDefault="002656AC" w:rsidP="009D1E81">
      <w:pPr>
        <w:jc w:val="both"/>
        <w:rPr>
          <w:b/>
          <w:bCs/>
        </w:rPr>
      </w:pPr>
    </w:p>
    <w:p w14:paraId="5B3A379A" w14:textId="77777777" w:rsidR="002656AC" w:rsidRDefault="002656AC" w:rsidP="009D1E81">
      <w:pPr>
        <w:jc w:val="both"/>
        <w:rPr>
          <w:b/>
          <w:bCs/>
        </w:rPr>
      </w:pPr>
    </w:p>
    <w:p w14:paraId="74C3EA00" w14:textId="77777777" w:rsidR="002656AC" w:rsidRDefault="002656AC" w:rsidP="009D1E81">
      <w:pPr>
        <w:jc w:val="both"/>
        <w:rPr>
          <w:b/>
          <w:bCs/>
        </w:rPr>
      </w:pPr>
    </w:p>
    <w:p w14:paraId="4595E8E0" w14:textId="77777777" w:rsidR="002656AC" w:rsidRDefault="002656AC" w:rsidP="009D1E81">
      <w:pPr>
        <w:jc w:val="both"/>
        <w:rPr>
          <w:b/>
          <w:bCs/>
        </w:rPr>
      </w:pPr>
    </w:p>
    <w:p w14:paraId="7A78D484" w14:textId="77777777" w:rsidR="005A5083" w:rsidRDefault="005A5083" w:rsidP="009D1E81">
      <w:pPr>
        <w:jc w:val="both"/>
        <w:rPr>
          <w:b/>
          <w:bCs/>
        </w:rPr>
      </w:pPr>
    </w:p>
    <w:p w14:paraId="1AEBF74C" w14:textId="033DF1FB" w:rsidR="00220615" w:rsidRDefault="009D1E81" w:rsidP="009D1E81">
      <w:pPr>
        <w:jc w:val="both"/>
        <w:rPr>
          <w:b/>
          <w:bCs/>
        </w:rPr>
      </w:pPr>
      <w:r w:rsidRPr="009D1E81">
        <w:rPr>
          <w:b/>
          <w:bCs/>
        </w:rPr>
        <w:t>Quem se pode inscrever no curso?</w:t>
      </w:r>
    </w:p>
    <w:p w14:paraId="6FFE61A0" w14:textId="697AED5B" w:rsidR="009D1E81" w:rsidRPr="009D1E81" w:rsidRDefault="009D1E81" w:rsidP="009D1E81">
      <w:pPr>
        <w:jc w:val="both"/>
      </w:pPr>
      <w:r w:rsidRPr="009D1E81">
        <w:rPr>
          <w:b/>
          <w:bCs/>
        </w:rPr>
        <w:t>Podem inscrever-se todas as pessoas que possuam uma das seguintes qualificações</w:t>
      </w:r>
      <w:r w:rsidRPr="009D1E81">
        <w:t>:</w:t>
      </w:r>
    </w:p>
    <w:p w14:paraId="0CF417B6" w14:textId="77777777" w:rsidR="009D1E81" w:rsidRPr="009D1E81" w:rsidRDefault="009D1E81" w:rsidP="009D1E81">
      <w:pPr>
        <w:numPr>
          <w:ilvl w:val="0"/>
          <w:numId w:val="1"/>
        </w:numPr>
        <w:jc w:val="both"/>
        <w:rPr>
          <w:iCs/>
        </w:rPr>
      </w:pPr>
      <w:r w:rsidRPr="009D1E81">
        <w:rPr>
          <w:iCs/>
        </w:rPr>
        <w:t>curso de ensino secundário ou de habilitação legalmente equivalente;</w:t>
      </w:r>
    </w:p>
    <w:p w14:paraId="0B3E59D7" w14:textId="77777777" w:rsidR="009D1E81" w:rsidRPr="009D1E81" w:rsidRDefault="009D1E81" w:rsidP="009D1E81">
      <w:pPr>
        <w:numPr>
          <w:ilvl w:val="0"/>
          <w:numId w:val="2"/>
        </w:numPr>
        <w:jc w:val="both"/>
        <w:rPr>
          <w:iCs/>
        </w:rPr>
      </w:pPr>
      <w:r w:rsidRPr="009D1E81">
        <w:rPr>
          <w:iCs/>
        </w:rPr>
        <w:t>curso de ensino secundário profissional de Nível IV;</w:t>
      </w:r>
    </w:p>
    <w:p w14:paraId="720953D6" w14:textId="77777777" w:rsidR="009D1E81" w:rsidRPr="009D1E81" w:rsidRDefault="009D1E81" w:rsidP="009D1E81">
      <w:pPr>
        <w:numPr>
          <w:ilvl w:val="0"/>
          <w:numId w:val="2"/>
        </w:numPr>
        <w:jc w:val="both"/>
        <w:rPr>
          <w:iCs/>
        </w:rPr>
      </w:pPr>
      <w:r w:rsidRPr="009D1E81">
        <w:rPr>
          <w:iCs/>
        </w:rPr>
        <w:t>diploma de especialização tecnológica (CET);</w:t>
      </w:r>
    </w:p>
    <w:p w14:paraId="6AE22490" w14:textId="77777777" w:rsidR="009D1E81" w:rsidRPr="009D1E81" w:rsidRDefault="009D1E81" w:rsidP="009D1E81">
      <w:pPr>
        <w:numPr>
          <w:ilvl w:val="0"/>
          <w:numId w:val="2"/>
        </w:numPr>
        <w:jc w:val="both"/>
        <w:rPr>
          <w:iCs/>
        </w:rPr>
      </w:pPr>
      <w:r w:rsidRPr="009D1E81">
        <w:rPr>
          <w:iCs/>
        </w:rPr>
        <w:t>grau de ensino superior que pretenda a sua requalificação profissional;</w:t>
      </w:r>
    </w:p>
    <w:p w14:paraId="00A190D7" w14:textId="77777777" w:rsidR="009D1E81" w:rsidRPr="009D1E81" w:rsidRDefault="009D1E81" w:rsidP="009D1E81">
      <w:pPr>
        <w:numPr>
          <w:ilvl w:val="0"/>
          <w:numId w:val="2"/>
        </w:numPr>
        <w:jc w:val="both"/>
        <w:rPr>
          <w:iCs/>
        </w:rPr>
      </w:pPr>
      <w:r w:rsidRPr="009D1E81">
        <w:rPr>
          <w:iCs/>
        </w:rPr>
        <w:t>candidatos que tenham sido aprovados nas provas especialmente adequadas destinadas a avaliar a capacidade para frequência do ensino superior dos maiores de 23 anos.</w:t>
      </w:r>
    </w:p>
    <w:p w14:paraId="3A90B973" w14:textId="0460F34F" w:rsidR="00F36FBE" w:rsidRDefault="009D1E81" w:rsidP="00420C0C">
      <w:pPr>
        <w:jc w:val="both"/>
      </w:pPr>
      <w:r w:rsidRPr="009D1E81">
        <w:rPr>
          <w:iCs/>
        </w:rPr>
        <w:t xml:space="preserve">Face à transição energética e os </w:t>
      </w:r>
      <w:r w:rsidRPr="009D1E81">
        <w:rPr>
          <w:b/>
          <w:bCs/>
          <w:iCs/>
        </w:rPr>
        <w:t>compromissos assumidos por Portugal de descarbonização até 2030</w:t>
      </w:r>
      <w:r w:rsidRPr="009D1E81">
        <w:rPr>
          <w:iCs/>
        </w:rPr>
        <w:t>, o setor das e</w:t>
      </w:r>
      <w:r w:rsidRPr="009D1E81">
        <w:t>nergias renováveis é uma área em forte expansão e consequentemente</w:t>
      </w:r>
      <w:r w:rsidR="002656AC">
        <w:t xml:space="preserve"> este curso é</w:t>
      </w:r>
      <w:r w:rsidRPr="009D1E81">
        <w:t xml:space="preserve"> uma oportunidade para</w:t>
      </w:r>
      <w:r w:rsidR="002656AC">
        <w:t xml:space="preserve"> o</w:t>
      </w:r>
      <w:r w:rsidRPr="009D1E81">
        <w:t xml:space="preserve"> desenvolvimento de conhecimento e competências nesta área em que a procura de profissionais continua a aumentar.</w:t>
      </w:r>
    </w:p>
    <w:p w14:paraId="0B689C8A" w14:textId="02E33B72" w:rsidR="00AD13CA" w:rsidRPr="003F378E" w:rsidRDefault="00AD13CA" w:rsidP="00420C0C">
      <w:pPr>
        <w:jc w:val="both"/>
        <w:rPr>
          <w:b/>
          <w:bCs/>
        </w:rPr>
      </w:pPr>
      <w:r w:rsidRPr="003F378E">
        <w:rPr>
          <w:b/>
          <w:bCs/>
        </w:rPr>
        <w:t>Emprego na área das energias renováveis</w:t>
      </w:r>
    </w:p>
    <w:p w14:paraId="6A13D53F" w14:textId="1CAE23A0" w:rsidR="00AD13CA" w:rsidRDefault="00AD13CA" w:rsidP="00420C0C">
      <w:pPr>
        <w:jc w:val="both"/>
      </w:pPr>
      <w:r w:rsidRPr="00A95AC8">
        <w:t xml:space="preserve">Segundo o relatório </w:t>
      </w:r>
      <w:r w:rsidRPr="00A95AC8">
        <w:rPr>
          <w:i/>
          <w:iCs/>
        </w:rPr>
        <w:t>“</w:t>
      </w:r>
      <w:proofErr w:type="spellStart"/>
      <w:r w:rsidRPr="00A95AC8">
        <w:rPr>
          <w:i/>
          <w:iCs/>
        </w:rPr>
        <w:t>Renewable</w:t>
      </w:r>
      <w:proofErr w:type="spellEnd"/>
      <w:r w:rsidRPr="00A95AC8">
        <w:rPr>
          <w:i/>
          <w:iCs/>
        </w:rPr>
        <w:t xml:space="preserve"> </w:t>
      </w:r>
      <w:proofErr w:type="spellStart"/>
      <w:r w:rsidRPr="00A95AC8">
        <w:rPr>
          <w:i/>
          <w:iCs/>
        </w:rPr>
        <w:t>Energy</w:t>
      </w:r>
      <w:proofErr w:type="spellEnd"/>
      <w:r w:rsidRPr="00A95AC8">
        <w:rPr>
          <w:i/>
          <w:iCs/>
        </w:rPr>
        <w:t xml:space="preserve"> </w:t>
      </w:r>
      <w:proofErr w:type="spellStart"/>
      <w:r w:rsidRPr="00A95AC8">
        <w:rPr>
          <w:i/>
          <w:iCs/>
        </w:rPr>
        <w:t>and</w:t>
      </w:r>
      <w:proofErr w:type="spellEnd"/>
      <w:r w:rsidRPr="00A95AC8">
        <w:rPr>
          <w:i/>
          <w:iCs/>
        </w:rPr>
        <w:t xml:space="preserve"> Jobs: </w:t>
      </w:r>
      <w:proofErr w:type="spellStart"/>
      <w:r w:rsidRPr="00A95AC8">
        <w:rPr>
          <w:i/>
          <w:iCs/>
        </w:rPr>
        <w:t>Annual</w:t>
      </w:r>
      <w:proofErr w:type="spellEnd"/>
      <w:r w:rsidRPr="00A95AC8">
        <w:rPr>
          <w:i/>
          <w:iCs/>
        </w:rPr>
        <w:t xml:space="preserve"> </w:t>
      </w:r>
      <w:proofErr w:type="spellStart"/>
      <w:r w:rsidRPr="00A95AC8">
        <w:rPr>
          <w:i/>
          <w:iCs/>
        </w:rPr>
        <w:t>Review</w:t>
      </w:r>
      <w:proofErr w:type="spellEnd"/>
      <w:r w:rsidRPr="00A95AC8">
        <w:rPr>
          <w:i/>
          <w:iCs/>
        </w:rPr>
        <w:t xml:space="preserve"> 2023”</w:t>
      </w:r>
      <w:r w:rsidR="00A95AC8" w:rsidRPr="00A95AC8">
        <w:t xml:space="preserve"> da </w:t>
      </w:r>
      <w:proofErr w:type="spellStart"/>
      <w:r w:rsidR="00A95AC8" w:rsidRPr="00A95AC8">
        <w:rPr>
          <w:i/>
          <w:iCs/>
        </w:rPr>
        <w:t>The</w:t>
      </w:r>
      <w:proofErr w:type="spellEnd"/>
      <w:r w:rsidR="00A95AC8" w:rsidRPr="00A95AC8">
        <w:rPr>
          <w:i/>
          <w:iCs/>
        </w:rPr>
        <w:t xml:space="preserve"> </w:t>
      </w:r>
      <w:proofErr w:type="spellStart"/>
      <w:r w:rsidR="00A95AC8" w:rsidRPr="00A95AC8">
        <w:rPr>
          <w:i/>
          <w:iCs/>
        </w:rPr>
        <w:t>International</w:t>
      </w:r>
      <w:proofErr w:type="spellEnd"/>
      <w:r w:rsidR="00A95AC8" w:rsidRPr="00A95AC8">
        <w:rPr>
          <w:i/>
          <w:iCs/>
        </w:rPr>
        <w:t xml:space="preserve"> </w:t>
      </w:r>
      <w:proofErr w:type="spellStart"/>
      <w:r w:rsidR="00A95AC8" w:rsidRPr="00A95AC8">
        <w:rPr>
          <w:i/>
          <w:iCs/>
        </w:rPr>
        <w:t>Renewable</w:t>
      </w:r>
      <w:proofErr w:type="spellEnd"/>
      <w:r w:rsidR="00A95AC8" w:rsidRPr="00A95AC8">
        <w:rPr>
          <w:i/>
          <w:iCs/>
        </w:rPr>
        <w:t xml:space="preserve"> </w:t>
      </w:r>
      <w:proofErr w:type="spellStart"/>
      <w:r w:rsidR="00A95AC8" w:rsidRPr="00A95AC8">
        <w:rPr>
          <w:i/>
          <w:iCs/>
        </w:rPr>
        <w:t>Energy</w:t>
      </w:r>
      <w:proofErr w:type="spellEnd"/>
      <w:r w:rsidR="00A95AC8" w:rsidRPr="00A95AC8">
        <w:rPr>
          <w:i/>
          <w:iCs/>
        </w:rPr>
        <w:t xml:space="preserve"> </w:t>
      </w:r>
      <w:proofErr w:type="spellStart"/>
      <w:r w:rsidR="00A95AC8" w:rsidRPr="00A95AC8">
        <w:rPr>
          <w:i/>
          <w:iCs/>
        </w:rPr>
        <w:t>Agency</w:t>
      </w:r>
      <w:proofErr w:type="spellEnd"/>
      <w:r w:rsidR="00A95AC8" w:rsidRPr="00A95AC8">
        <w:t xml:space="preserve"> (IRENA), o setor das en</w:t>
      </w:r>
      <w:r w:rsidR="00A95AC8">
        <w:t>ergias renováveis empregou 13,7 milhões de pessoas em todo o mundo no ano 2022, um aumento de 1 milhão em relação a 2021. Representa ainda um aumento notável em comparação com 7,3 milhões de empregos em 2012.</w:t>
      </w:r>
    </w:p>
    <w:p w14:paraId="1F94C17E" w14:textId="62358854" w:rsidR="00A95AC8" w:rsidRPr="00A95AC8" w:rsidRDefault="00A95AC8" w:rsidP="00420C0C">
      <w:pPr>
        <w:jc w:val="both"/>
      </w:pPr>
      <w:r>
        <w:t>A energia solar lidera o setor mundial das energias renováveis em termos</w:t>
      </w:r>
      <w:r w:rsidR="003F378E">
        <w:t xml:space="preserve"> de criação de emprego. Em 2022, este setor criou 4,9 milhões de empregos, o que representa um terço do total das energias renováveis.</w:t>
      </w:r>
    </w:p>
    <w:p w14:paraId="15EB67A6" w14:textId="77777777" w:rsidR="00F36FBE" w:rsidRPr="00F36FBE" w:rsidRDefault="00F36FBE" w:rsidP="00F36FBE">
      <w:pPr>
        <w:shd w:val="clear" w:color="auto" w:fill="FFFFFF"/>
        <w:jc w:val="both"/>
        <w:rPr>
          <w:rFonts w:eastAsia="Calibri" w:cs="Arial"/>
          <w:b/>
          <w:bCs/>
          <w:kern w:val="1"/>
          <w:lang w:eastAsia="zh-CN" w:bidi="hi-IN"/>
        </w:rPr>
      </w:pPr>
      <w:r w:rsidRPr="00F36FBE">
        <w:rPr>
          <w:rFonts w:eastAsia="Calibri" w:cs="Arial"/>
          <w:b/>
          <w:bCs/>
          <w:kern w:val="1"/>
          <w:lang w:eastAsia="zh-CN" w:bidi="hi-IN"/>
        </w:rPr>
        <w:t>O projeto da Endesa</w:t>
      </w:r>
    </w:p>
    <w:p w14:paraId="02F3FD83" w14:textId="77777777" w:rsidR="00F36FBE" w:rsidRPr="00F36FBE" w:rsidRDefault="00F36FBE" w:rsidP="00F36FBE">
      <w:pPr>
        <w:jc w:val="both"/>
        <w:rPr>
          <w:rFonts w:eastAsia="Calibri" w:cs="Arial"/>
          <w:kern w:val="1"/>
          <w:lang w:eastAsia="zh-CN" w:bidi="hi-IN"/>
        </w:rPr>
      </w:pPr>
      <w:r w:rsidRPr="00F36FBE">
        <w:rPr>
          <w:rFonts w:eastAsia="Calibri" w:cs="Arial"/>
          <w:kern w:val="1"/>
          <w:lang w:eastAsia="zh-CN" w:bidi="hi-IN"/>
        </w:rPr>
        <w:t xml:space="preserve">A Endesa obteve em 2022, um direito de ligação à Rede Elétrica de Serviço Público (RESP) de 224 MVA para a instalação de mais de 600 MW em energias renováveis com armazenamento integrado de 340 </w:t>
      </w:r>
      <w:proofErr w:type="spellStart"/>
      <w:r w:rsidRPr="00F36FBE">
        <w:rPr>
          <w:rFonts w:eastAsia="Calibri" w:cs="Arial"/>
          <w:kern w:val="1"/>
          <w:lang w:eastAsia="zh-CN" w:bidi="hi-IN"/>
        </w:rPr>
        <w:t>MWh</w:t>
      </w:r>
      <w:proofErr w:type="spellEnd"/>
      <w:r w:rsidRPr="00F36FBE">
        <w:rPr>
          <w:rFonts w:eastAsia="Calibri" w:cs="Arial"/>
          <w:kern w:val="1"/>
          <w:lang w:eastAsia="zh-CN" w:bidi="hi-IN"/>
        </w:rPr>
        <w:t xml:space="preserve"> e um eletrolisador de 500 kW para a produção de hidrogénio verde. </w:t>
      </w:r>
    </w:p>
    <w:p w14:paraId="120BC81D" w14:textId="77777777" w:rsidR="00F432F5" w:rsidRDefault="00F432F5" w:rsidP="00F36FBE">
      <w:pPr>
        <w:jc w:val="both"/>
        <w:rPr>
          <w:rFonts w:eastAsia="Calibri" w:cs="Arial"/>
          <w:kern w:val="1"/>
          <w:lang w:eastAsia="zh-CN" w:bidi="hi-IN"/>
        </w:rPr>
      </w:pPr>
    </w:p>
    <w:p w14:paraId="0EF71CDE" w14:textId="77777777" w:rsidR="00F432F5" w:rsidRDefault="00F432F5" w:rsidP="00F36FBE">
      <w:pPr>
        <w:jc w:val="both"/>
        <w:rPr>
          <w:rFonts w:eastAsia="Calibri" w:cs="Arial"/>
          <w:kern w:val="1"/>
          <w:lang w:eastAsia="zh-CN" w:bidi="hi-IN"/>
        </w:rPr>
      </w:pPr>
    </w:p>
    <w:p w14:paraId="61E0EA50" w14:textId="77777777" w:rsidR="00F432F5" w:rsidRDefault="00F432F5" w:rsidP="00F36FBE">
      <w:pPr>
        <w:jc w:val="both"/>
        <w:rPr>
          <w:rFonts w:eastAsia="Calibri" w:cs="Arial"/>
          <w:kern w:val="1"/>
          <w:lang w:eastAsia="zh-CN" w:bidi="hi-IN"/>
        </w:rPr>
      </w:pPr>
    </w:p>
    <w:p w14:paraId="2066DB2D" w14:textId="77777777" w:rsidR="00F432F5" w:rsidRDefault="00F432F5" w:rsidP="00F36FBE">
      <w:pPr>
        <w:jc w:val="both"/>
        <w:rPr>
          <w:rFonts w:eastAsia="Calibri" w:cs="Arial"/>
          <w:kern w:val="1"/>
          <w:lang w:eastAsia="zh-CN" w:bidi="hi-IN"/>
        </w:rPr>
      </w:pPr>
    </w:p>
    <w:p w14:paraId="1D560394" w14:textId="77777777" w:rsidR="00F432F5" w:rsidRDefault="00F432F5" w:rsidP="00F36FBE">
      <w:pPr>
        <w:jc w:val="both"/>
        <w:rPr>
          <w:rFonts w:eastAsia="Calibri" w:cs="Arial"/>
          <w:kern w:val="1"/>
          <w:lang w:eastAsia="zh-CN" w:bidi="hi-IN"/>
        </w:rPr>
      </w:pPr>
    </w:p>
    <w:p w14:paraId="6E9E7DE0" w14:textId="77777777" w:rsidR="00F432F5" w:rsidRDefault="00F432F5" w:rsidP="00F36FBE">
      <w:pPr>
        <w:jc w:val="both"/>
        <w:rPr>
          <w:rFonts w:eastAsia="Calibri" w:cs="Arial"/>
          <w:kern w:val="1"/>
          <w:lang w:eastAsia="zh-CN" w:bidi="hi-IN"/>
        </w:rPr>
      </w:pPr>
    </w:p>
    <w:p w14:paraId="038F1A0D" w14:textId="77777777" w:rsidR="00F432F5" w:rsidRDefault="00F432F5" w:rsidP="00F36FBE">
      <w:pPr>
        <w:jc w:val="both"/>
        <w:rPr>
          <w:rFonts w:eastAsia="Calibri" w:cs="Arial"/>
          <w:kern w:val="1"/>
          <w:lang w:eastAsia="zh-CN" w:bidi="hi-IN"/>
        </w:rPr>
      </w:pPr>
    </w:p>
    <w:p w14:paraId="2AA11786" w14:textId="77777777" w:rsidR="00497BDA" w:rsidRDefault="00497BDA" w:rsidP="00F36FBE">
      <w:pPr>
        <w:jc w:val="both"/>
        <w:rPr>
          <w:rFonts w:eastAsia="Calibri" w:cs="Arial"/>
          <w:kern w:val="1"/>
          <w:lang w:eastAsia="zh-CN" w:bidi="hi-IN"/>
        </w:rPr>
      </w:pPr>
    </w:p>
    <w:p w14:paraId="21792196" w14:textId="234F0C8C" w:rsidR="00FF585D" w:rsidRDefault="00F36FBE" w:rsidP="00F36FBE">
      <w:pPr>
        <w:jc w:val="both"/>
        <w:rPr>
          <w:rFonts w:eastAsia="Calibri" w:cs="Arial"/>
          <w:kern w:val="1"/>
          <w:lang w:eastAsia="zh-CN" w:bidi="hi-IN"/>
        </w:rPr>
      </w:pPr>
      <w:r w:rsidRPr="00F36FBE">
        <w:rPr>
          <w:rFonts w:eastAsia="Calibri" w:cs="Arial"/>
          <w:kern w:val="1"/>
          <w:lang w:eastAsia="zh-CN" w:bidi="hi-IN"/>
        </w:rPr>
        <w:t xml:space="preserve">Situado na Região de implantação do Projeto de Transição Justa do Pego, trata-se de um projeto economicamente sustentável que não depende de subsídios externos, e que representa um investimento da Endesa de 700 milhões de euros.   </w:t>
      </w:r>
    </w:p>
    <w:p w14:paraId="65513286" w14:textId="1F97E6AC" w:rsidR="00F36FBE" w:rsidRPr="00F36FBE" w:rsidRDefault="00F36FBE" w:rsidP="00F36FBE">
      <w:pPr>
        <w:jc w:val="both"/>
        <w:rPr>
          <w:rFonts w:eastAsia="Calibri" w:cs="Arial"/>
          <w:kern w:val="1"/>
          <w:lang w:eastAsia="zh-CN" w:bidi="hi-IN"/>
        </w:rPr>
      </w:pPr>
      <w:r w:rsidRPr="00F36FBE">
        <w:rPr>
          <w:rFonts w:eastAsia="Calibri" w:cs="Arial"/>
          <w:kern w:val="1"/>
          <w:lang w:eastAsia="zh-CN" w:bidi="hi-IN"/>
        </w:rPr>
        <w:t>O sucesso da proposta da Endesa deve-se sobretudo aos projetos de desenvolvimento social e económico para a Região, uma vez que se compromete com a criação de 75 postos de trabalho permanentes, um Plano Global de formação e capacitação aos residentes e apoio às PME para que integrem os seus projetos na Região.</w:t>
      </w:r>
    </w:p>
    <w:p w14:paraId="770C37C3" w14:textId="77777777" w:rsidR="00F36FBE" w:rsidRDefault="00F36FBE" w:rsidP="00F36FBE">
      <w:pPr>
        <w:shd w:val="clear" w:color="auto" w:fill="FFFFFF"/>
        <w:jc w:val="both"/>
        <w:rPr>
          <w:rFonts w:eastAsia="Calibri" w:cs="Arial"/>
          <w:kern w:val="1"/>
          <w:lang w:eastAsia="zh-CN" w:bidi="hi-IN"/>
        </w:rPr>
      </w:pPr>
      <w:r w:rsidRPr="00F36FBE">
        <w:rPr>
          <w:rFonts w:eastAsia="Calibri" w:cs="Arial"/>
          <w:kern w:val="1"/>
          <w:lang w:eastAsia="zh-CN" w:bidi="hi-IN"/>
        </w:rPr>
        <w:t xml:space="preserve">O projeto da Endesa foi concebido desde o início como uma colaboração com a Região de implantação do Projeto de Transição Justa do Pego e com os trabalhadores envolvidos no encerramento da central a carvão do Pego. A proposta apresentada pela Endesa inclui um Plano Global de formação e de desenvolvimento social e económico para a Região. A </w:t>
      </w:r>
      <w:r w:rsidRPr="00F36FBE">
        <w:rPr>
          <w:rFonts w:eastAsia="Calibri" w:cs="Arial"/>
          <w:i/>
          <w:iCs/>
          <w:kern w:val="1"/>
          <w:lang w:eastAsia="zh-CN" w:bidi="hi-IN"/>
        </w:rPr>
        <w:t>Criação de Valor Partilhado</w:t>
      </w:r>
      <w:r w:rsidRPr="00F36FBE">
        <w:rPr>
          <w:rFonts w:eastAsia="Calibri" w:cs="Arial"/>
          <w:kern w:val="1"/>
          <w:lang w:eastAsia="zh-CN" w:bidi="hi-IN"/>
        </w:rPr>
        <w:t xml:space="preserve"> ou </w:t>
      </w:r>
      <w:r w:rsidRPr="00F36FBE">
        <w:rPr>
          <w:rFonts w:eastAsia="Calibri" w:cs="Arial"/>
          <w:i/>
          <w:iCs/>
          <w:kern w:val="1"/>
          <w:lang w:eastAsia="zh-CN" w:bidi="hi-IN"/>
        </w:rPr>
        <w:t>CSV</w:t>
      </w:r>
      <w:r w:rsidRPr="00F36FBE">
        <w:rPr>
          <w:rFonts w:eastAsia="Calibri" w:cs="Arial"/>
          <w:kern w:val="1"/>
          <w:lang w:eastAsia="zh-CN" w:bidi="hi-IN"/>
        </w:rPr>
        <w:t xml:space="preserve"> (</w:t>
      </w:r>
      <w:proofErr w:type="spellStart"/>
      <w:r w:rsidRPr="00F36FBE">
        <w:rPr>
          <w:rFonts w:eastAsia="Calibri" w:cs="Arial"/>
          <w:kern w:val="1"/>
          <w:lang w:eastAsia="zh-CN" w:bidi="hi-IN"/>
        </w:rPr>
        <w:t>Creating</w:t>
      </w:r>
      <w:proofErr w:type="spellEnd"/>
      <w:r w:rsidRPr="00F36FBE">
        <w:rPr>
          <w:rFonts w:eastAsia="Calibri" w:cs="Arial"/>
          <w:kern w:val="1"/>
          <w:lang w:eastAsia="zh-CN" w:bidi="hi-IN"/>
        </w:rPr>
        <w:t xml:space="preserve"> </w:t>
      </w:r>
      <w:proofErr w:type="spellStart"/>
      <w:r w:rsidRPr="00F36FBE">
        <w:rPr>
          <w:rFonts w:eastAsia="Calibri" w:cs="Arial"/>
          <w:kern w:val="1"/>
          <w:lang w:eastAsia="zh-CN" w:bidi="hi-IN"/>
        </w:rPr>
        <w:t>Shared</w:t>
      </w:r>
      <w:proofErr w:type="spellEnd"/>
      <w:r w:rsidRPr="00F36FBE">
        <w:rPr>
          <w:rFonts w:eastAsia="Calibri" w:cs="Arial"/>
          <w:kern w:val="1"/>
          <w:lang w:eastAsia="zh-CN" w:bidi="hi-IN"/>
        </w:rPr>
        <w:t xml:space="preserve"> </w:t>
      </w:r>
      <w:proofErr w:type="spellStart"/>
      <w:r w:rsidRPr="00F36FBE">
        <w:rPr>
          <w:rFonts w:eastAsia="Calibri" w:cs="Arial"/>
          <w:kern w:val="1"/>
          <w:lang w:eastAsia="zh-CN" w:bidi="hi-IN"/>
        </w:rPr>
        <w:t>Value</w:t>
      </w:r>
      <w:proofErr w:type="spellEnd"/>
      <w:r w:rsidRPr="00F36FBE">
        <w:rPr>
          <w:rFonts w:eastAsia="Calibri" w:cs="Arial"/>
          <w:kern w:val="1"/>
          <w:lang w:eastAsia="zh-CN" w:bidi="hi-IN"/>
        </w:rPr>
        <w:t>) com que a Endesa trabalha em todos os seus projetos visa maximizar o seu valor para a comunidade envolvente através de um conjunto de iniciativas que são construídas através de um processo participativo com os agentes locais. O que torna o projeto da Endesa em Abrantes único é precisamente o envolvimento das PME locais que vão desenvolver o seu modelo de negócio na Região, com projetos específicos.</w:t>
      </w:r>
    </w:p>
    <w:p w14:paraId="758EF990" w14:textId="77777777" w:rsidR="00B559ED" w:rsidRDefault="00B559ED" w:rsidP="00B559ED">
      <w:pPr>
        <w:shd w:val="clear" w:color="auto" w:fill="FFFFFF"/>
        <w:jc w:val="both"/>
        <w:rPr>
          <w:rFonts w:eastAsia="Calibri" w:cs="Arial"/>
          <w:b/>
          <w:bCs/>
          <w:kern w:val="1"/>
          <w:lang w:eastAsia="zh-CN" w:bidi="hi-IN"/>
        </w:rPr>
      </w:pPr>
    </w:p>
    <w:p w14:paraId="4C986B7F" w14:textId="0B16678B" w:rsidR="00B559ED" w:rsidRPr="00B559ED" w:rsidRDefault="00B559ED" w:rsidP="00B559ED">
      <w:pPr>
        <w:shd w:val="clear" w:color="auto" w:fill="FFFFFF"/>
        <w:jc w:val="both"/>
        <w:rPr>
          <w:rFonts w:eastAsia="Calibri" w:cs="Arial"/>
          <w:kern w:val="1"/>
          <w:lang w:eastAsia="zh-CN" w:bidi="hi-IN"/>
        </w:rPr>
      </w:pPr>
      <w:r w:rsidRPr="00B559ED">
        <w:rPr>
          <w:rFonts w:eastAsia="Calibri" w:cs="Arial"/>
          <w:b/>
          <w:bCs/>
          <w:kern w:val="1"/>
          <w:lang w:eastAsia="zh-CN" w:bidi="hi-IN"/>
        </w:rPr>
        <w:t>Sobre a Endesa </w:t>
      </w:r>
      <w:r w:rsidRPr="00B559ED">
        <w:rPr>
          <w:rFonts w:eastAsia="Calibri" w:cs="Arial"/>
          <w:kern w:val="1"/>
          <w:lang w:eastAsia="zh-CN" w:bidi="hi-IN"/>
        </w:rPr>
        <w:t> </w:t>
      </w:r>
    </w:p>
    <w:p w14:paraId="0E60C3D4" w14:textId="77777777" w:rsidR="00B559ED" w:rsidRPr="00B559ED" w:rsidRDefault="00B559ED" w:rsidP="00B559ED">
      <w:pPr>
        <w:shd w:val="clear" w:color="auto" w:fill="FFFFFF"/>
        <w:jc w:val="both"/>
        <w:rPr>
          <w:rFonts w:eastAsia="Calibri" w:cs="Arial"/>
          <w:kern w:val="1"/>
          <w:lang w:eastAsia="zh-CN" w:bidi="hi-IN"/>
        </w:rPr>
      </w:pPr>
      <w:r w:rsidRPr="00B559ED">
        <w:rPr>
          <w:rFonts w:eastAsia="Calibri" w:cs="Arial"/>
          <w:kern w:val="1"/>
          <w:lang w:eastAsia="zh-CN" w:bidi="hi-IN"/>
        </w:rPr>
        <w:t xml:space="preserve">A </w:t>
      </w:r>
      <w:hyperlink r:id="rId11" w:tgtFrame="_blank" w:history="1">
        <w:r w:rsidRPr="00B559ED">
          <w:rPr>
            <w:rStyle w:val="Hiperligao"/>
            <w:rFonts w:eastAsia="Calibri" w:cs="Arial"/>
            <w:kern w:val="1"/>
            <w:lang w:eastAsia="zh-CN" w:bidi="hi-IN"/>
          </w:rPr>
          <w:t>Endesa</w:t>
        </w:r>
      </w:hyperlink>
      <w:r w:rsidRPr="00B559ED">
        <w:rPr>
          <w:rFonts w:eastAsia="Calibri" w:cs="Arial"/>
          <w:kern w:val="1"/>
          <w:u w:val="single"/>
          <w:lang w:eastAsia="zh-CN" w:bidi="hi-IN"/>
        </w:rPr>
        <w:t xml:space="preserve"> </w:t>
      </w:r>
      <w:r w:rsidRPr="00B559ED">
        <w:rPr>
          <w:rFonts w:eastAsia="Calibri" w:cs="Arial"/>
          <w:kern w:val="1"/>
          <w:lang w:eastAsia="zh-CN" w:bidi="hi-IN"/>
        </w:rPr>
        <w:t xml:space="preserve">é uma empresa líder no sector da eletricidade em Espanha e a segunda maior em Portugal. É também o segundo maior operador de gás no mercado espanhol. Tem um negócio integrado de produção, distribuição e fornecimento de eletricidade. Também oferece serviços de mobilidade elétrica, onde é um dos principais operadores de pontos de recarga em Espanha. A Endesa está firmemente comprometida com </w:t>
      </w:r>
      <w:hyperlink r:id="rId12" w:tgtFrame="_blank" w:history="1">
        <w:r w:rsidRPr="00B559ED">
          <w:rPr>
            <w:rStyle w:val="Hiperligao"/>
            <w:rFonts w:eastAsia="Calibri" w:cs="Arial"/>
            <w:kern w:val="1"/>
            <w:lang w:eastAsia="zh-CN" w:bidi="hi-IN"/>
          </w:rPr>
          <w:t>os ODS das Nações Unidas</w:t>
        </w:r>
      </w:hyperlink>
      <w:r w:rsidRPr="00B559ED">
        <w:rPr>
          <w:rFonts w:eastAsia="Calibri" w:cs="Arial"/>
          <w:kern w:val="1"/>
          <w:u w:val="single"/>
          <w:lang w:eastAsia="zh-CN" w:bidi="hi-IN"/>
        </w:rPr>
        <w:t xml:space="preserve"> </w:t>
      </w:r>
      <w:r w:rsidRPr="00B559ED">
        <w:rPr>
          <w:rFonts w:eastAsia="Calibri" w:cs="Arial"/>
          <w:kern w:val="1"/>
          <w:lang w:eastAsia="zh-CN" w:bidi="hi-IN"/>
        </w:rPr>
        <w:t xml:space="preserve">e, como tal, está a promover fortemente o desenvolvimento das energias renováveis através da Enel Green </w:t>
      </w:r>
      <w:proofErr w:type="spellStart"/>
      <w:r w:rsidRPr="00B559ED">
        <w:rPr>
          <w:rFonts w:eastAsia="Calibri" w:cs="Arial"/>
          <w:kern w:val="1"/>
          <w:lang w:eastAsia="zh-CN" w:bidi="hi-IN"/>
        </w:rPr>
        <w:t>Power</w:t>
      </w:r>
      <w:proofErr w:type="spellEnd"/>
      <w:r w:rsidRPr="00B559ED">
        <w:rPr>
          <w:rFonts w:eastAsia="Calibri" w:cs="Arial"/>
          <w:kern w:val="1"/>
          <w:lang w:eastAsia="zh-CN" w:bidi="hi-IN"/>
        </w:rPr>
        <w:t xml:space="preserve"> </w:t>
      </w:r>
      <w:proofErr w:type="spellStart"/>
      <w:r w:rsidRPr="00B559ED">
        <w:rPr>
          <w:rFonts w:eastAsia="Calibri" w:cs="Arial"/>
          <w:kern w:val="1"/>
          <w:lang w:eastAsia="zh-CN" w:bidi="hi-IN"/>
        </w:rPr>
        <w:t>España</w:t>
      </w:r>
      <w:proofErr w:type="spellEnd"/>
      <w:r w:rsidRPr="00B559ED">
        <w:rPr>
          <w:rFonts w:eastAsia="Calibri" w:cs="Arial"/>
          <w:kern w:val="1"/>
          <w:lang w:eastAsia="zh-CN" w:bidi="hi-IN"/>
        </w:rPr>
        <w:t>, a digitalização das redes através da e-</w:t>
      </w:r>
      <w:proofErr w:type="spellStart"/>
      <w:r w:rsidRPr="00B559ED">
        <w:rPr>
          <w:rFonts w:eastAsia="Calibri" w:cs="Arial"/>
          <w:kern w:val="1"/>
          <w:lang w:eastAsia="zh-CN" w:bidi="hi-IN"/>
        </w:rPr>
        <w:t>distribución</w:t>
      </w:r>
      <w:proofErr w:type="spellEnd"/>
      <w:r w:rsidRPr="00B559ED">
        <w:rPr>
          <w:rFonts w:eastAsia="Calibri" w:cs="Arial"/>
          <w:kern w:val="1"/>
          <w:lang w:eastAsia="zh-CN" w:bidi="hi-IN"/>
        </w:rPr>
        <w:t xml:space="preserve"> e a Responsabilidade Social Corporativa. Também estamos ativos nesta última área desde a </w:t>
      </w:r>
      <w:hyperlink r:id="rId13" w:tgtFrame="_blank" w:history="1">
        <w:proofErr w:type="spellStart"/>
        <w:r w:rsidRPr="00B559ED">
          <w:rPr>
            <w:rStyle w:val="Hiperligao"/>
            <w:rFonts w:eastAsia="Calibri" w:cs="Arial"/>
            <w:kern w:val="1"/>
            <w:lang w:eastAsia="zh-CN" w:bidi="hi-IN"/>
          </w:rPr>
          <w:t>Fundación</w:t>
        </w:r>
        <w:proofErr w:type="spellEnd"/>
        <w:r w:rsidRPr="00B559ED">
          <w:rPr>
            <w:rStyle w:val="Hiperligao"/>
            <w:rFonts w:eastAsia="Calibri" w:cs="Arial"/>
            <w:kern w:val="1"/>
            <w:lang w:eastAsia="zh-CN" w:bidi="hi-IN"/>
          </w:rPr>
          <w:t xml:space="preserve"> Endesa</w:t>
        </w:r>
      </w:hyperlink>
      <w:r w:rsidRPr="00B559ED">
        <w:rPr>
          <w:rFonts w:eastAsia="Calibri" w:cs="Arial"/>
          <w:kern w:val="1"/>
          <w:lang w:eastAsia="zh-CN" w:bidi="hi-IN"/>
        </w:rPr>
        <w:t xml:space="preserve">. Contamos com cerca de 9.000 colaboradores. A Endesa faz parte da </w:t>
      </w:r>
      <w:hyperlink r:id="rId14" w:tgtFrame="_blank" w:history="1">
        <w:r w:rsidRPr="00B559ED">
          <w:rPr>
            <w:rStyle w:val="Hiperligao"/>
            <w:rFonts w:eastAsia="Calibri" w:cs="Arial"/>
            <w:kern w:val="1"/>
            <w:lang w:eastAsia="zh-CN" w:bidi="hi-IN"/>
          </w:rPr>
          <w:t>Enel</w:t>
        </w:r>
      </w:hyperlink>
      <w:r w:rsidRPr="00B559ED">
        <w:rPr>
          <w:rFonts w:eastAsia="Calibri" w:cs="Arial"/>
          <w:kern w:val="1"/>
          <w:lang w:eastAsia="zh-CN" w:bidi="hi-IN"/>
        </w:rPr>
        <w:t>, o maior grupo de eletricidade da Europa. </w:t>
      </w:r>
    </w:p>
    <w:p w14:paraId="0957E1A2" w14:textId="77777777" w:rsidR="00FF585D" w:rsidRPr="00F36FBE" w:rsidRDefault="00FF585D" w:rsidP="00F36FBE">
      <w:pPr>
        <w:shd w:val="clear" w:color="auto" w:fill="FFFFFF"/>
        <w:jc w:val="both"/>
        <w:rPr>
          <w:rFonts w:eastAsia="Calibri" w:cs="Arial"/>
          <w:kern w:val="1"/>
          <w:lang w:eastAsia="zh-CN" w:bidi="hi-IN"/>
        </w:rPr>
      </w:pPr>
    </w:p>
    <w:p w14:paraId="46892208" w14:textId="77777777" w:rsidR="00F36FBE" w:rsidRPr="00DF2B5A" w:rsidRDefault="00F36FBE" w:rsidP="00DF2B5A">
      <w:pPr>
        <w:rPr>
          <w:b/>
          <w:bCs/>
        </w:rPr>
      </w:pPr>
    </w:p>
    <w:sectPr w:rsidR="00F36FBE" w:rsidRPr="00DF2B5A" w:rsidSect="0084375A">
      <w:headerReference w:type="default" r:id="rId15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64045" w14:textId="77777777" w:rsidR="009F3B3F" w:rsidRDefault="009F3B3F" w:rsidP="009F3B3F">
      <w:pPr>
        <w:spacing w:after="0" w:line="240" w:lineRule="auto"/>
      </w:pPr>
      <w:r>
        <w:separator/>
      </w:r>
    </w:p>
  </w:endnote>
  <w:endnote w:type="continuationSeparator" w:id="0">
    <w:p w14:paraId="7F313743" w14:textId="77777777" w:rsidR="009F3B3F" w:rsidRDefault="009F3B3F" w:rsidP="009F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77037" w14:textId="77777777" w:rsidR="009F3B3F" w:rsidRDefault="009F3B3F" w:rsidP="009F3B3F">
      <w:pPr>
        <w:spacing w:after="0" w:line="240" w:lineRule="auto"/>
      </w:pPr>
      <w:r>
        <w:separator/>
      </w:r>
    </w:p>
  </w:footnote>
  <w:footnote w:type="continuationSeparator" w:id="0">
    <w:p w14:paraId="64BC423D" w14:textId="77777777" w:rsidR="009F3B3F" w:rsidRDefault="009F3B3F" w:rsidP="009F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81557" w14:textId="5561871A" w:rsidR="009F3B3F" w:rsidRDefault="00972A1D">
    <w:pPr>
      <w:pStyle w:val="Cabealho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5C0DFA80" wp14:editId="70DE5F65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571055" cy="540000"/>
          <wp:effectExtent l="0" t="0" r="1270" b="0"/>
          <wp:wrapSquare wrapText="bothSides"/>
          <wp:docPr id="1963368708" name="Imagem 1963368708" descr="Uma imagem com Gráficos, Tipo de letra, captura de ecrã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368708" name="Imagem 1963368708" descr="Uma imagem com Gráficos, Tipo de letra, captura de ecrã, design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05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ECE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A6885CF" wp14:editId="6356D272">
          <wp:simplePos x="0" y="0"/>
          <wp:positionH relativeFrom="margin">
            <wp:posOffset>4432300</wp:posOffset>
          </wp:positionH>
          <wp:positionV relativeFrom="margin">
            <wp:align>top</wp:align>
          </wp:positionV>
          <wp:extent cx="1657985" cy="1064895"/>
          <wp:effectExtent l="0" t="0" r="0" b="0"/>
          <wp:wrapSquare wrapText="bothSides"/>
          <wp:docPr id="715916193" name="Imagem 1" descr="Uma imagem com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916193" name="Imagem 1" descr="Uma imagem com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ECE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 wp14:anchorId="08BBF38E" wp14:editId="4B4601D4">
          <wp:simplePos x="0" y="0"/>
          <wp:positionH relativeFrom="margin">
            <wp:align>left</wp:align>
          </wp:positionH>
          <wp:positionV relativeFrom="margin">
            <wp:posOffset>114935</wp:posOffset>
          </wp:positionV>
          <wp:extent cx="1238250" cy="1352550"/>
          <wp:effectExtent l="0" t="0" r="0" b="0"/>
          <wp:wrapSquare wrapText="bothSides"/>
          <wp:docPr id="1963368709" name="Imagem 1963368709" descr="Uma imagem com branco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368709" name="Imagem 1963368709" descr="Uma imagem com branco, design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221BF"/>
    <w:multiLevelType w:val="hybridMultilevel"/>
    <w:tmpl w:val="7BBEA8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6AF7"/>
    <w:multiLevelType w:val="hybridMultilevel"/>
    <w:tmpl w:val="B2B20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B666E"/>
    <w:multiLevelType w:val="hybridMultilevel"/>
    <w:tmpl w:val="BE6E37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0748">
    <w:abstractNumId w:val="0"/>
  </w:num>
  <w:num w:numId="2" w16cid:durableId="1770806710">
    <w:abstractNumId w:val="1"/>
  </w:num>
  <w:num w:numId="3" w16cid:durableId="1530296980">
    <w:abstractNumId w:val="0"/>
  </w:num>
  <w:num w:numId="4" w16cid:durableId="2146729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5A"/>
    <w:rsid w:val="000517AA"/>
    <w:rsid w:val="000D439E"/>
    <w:rsid w:val="001D78D1"/>
    <w:rsid w:val="00200912"/>
    <w:rsid w:val="00220615"/>
    <w:rsid w:val="002656AC"/>
    <w:rsid w:val="003D2557"/>
    <w:rsid w:val="003F378E"/>
    <w:rsid w:val="0040751E"/>
    <w:rsid w:val="00420C0C"/>
    <w:rsid w:val="004411ED"/>
    <w:rsid w:val="00450109"/>
    <w:rsid w:val="00493ECE"/>
    <w:rsid w:val="00497BDA"/>
    <w:rsid w:val="005105FE"/>
    <w:rsid w:val="00546099"/>
    <w:rsid w:val="00552ABF"/>
    <w:rsid w:val="005A5083"/>
    <w:rsid w:val="005C0DEA"/>
    <w:rsid w:val="00643552"/>
    <w:rsid w:val="00645B0A"/>
    <w:rsid w:val="006461B4"/>
    <w:rsid w:val="0065787F"/>
    <w:rsid w:val="006668A5"/>
    <w:rsid w:val="006A15F1"/>
    <w:rsid w:val="006A253A"/>
    <w:rsid w:val="006F295A"/>
    <w:rsid w:val="00735EF7"/>
    <w:rsid w:val="00782DB7"/>
    <w:rsid w:val="007938E5"/>
    <w:rsid w:val="00795027"/>
    <w:rsid w:val="0079758E"/>
    <w:rsid w:val="00840BA9"/>
    <w:rsid w:val="0084375A"/>
    <w:rsid w:val="008748F2"/>
    <w:rsid w:val="008B4C87"/>
    <w:rsid w:val="00972A1D"/>
    <w:rsid w:val="009D1E81"/>
    <w:rsid w:val="009F3B3F"/>
    <w:rsid w:val="00A2076A"/>
    <w:rsid w:val="00A616AA"/>
    <w:rsid w:val="00A95AC8"/>
    <w:rsid w:val="00AD13CA"/>
    <w:rsid w:val="00B3467A"/>
    <w:rsid w:val="00B559ED"/>
    <w:rsid w:val="00C43DD6"/>
    <w:rsid w:val="00C47661"/>
    <w:rsid w:val="00C57E7B"/>
    <w:rsid w:val="00CE56CB"/>
    <w:rsid w:val="00DA13B3"/>
    <w:rsid w:val="00DD4192"/>
    <w:rsid w:val="00DE4ED7"/>
    <w:rsid w:val="00DF2B5A"/>
    <w:rsid w:val="00DF2F34"/>
    <w:rsid w:val="00E25AED"/>
    <w:rsid w:val="00E979BA"/>
    <w:rsid w:val="00F10663"/>
    <w:rsid w:val="00F36FBE"/>
    <w:rsid w:val="00F432F5"/>
    <w:rsid w:val="00F638D2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18B85B"/>
  <w15:chartTrackingRefBased/>
  <w15:docId w15:val="{27ECB185-8BD9-4BDF-8BC7-0AF06BB5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F2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F2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2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F2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F2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F2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F2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F2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F2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F2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F2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F2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F2B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F2B5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F2B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F2B5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F2B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F2B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F2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F2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F2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F2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F2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F2B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2B5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F2B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F2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F2B5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F2B5A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B559ED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559ED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9F3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3F"/>
  </w:style>
  <w:style w:type="paragraph" w:styleId="Rodap">
    <w:name w:val="footer"/>
    <w:basedOn w:val="Normal"/>
    <w:link w:val="RodapCarter"/>
    <w:uiPriority w:val="99"/>
    <w:unhideWhenUsed/>
    <w:rsid w:val="009F3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3F"/>
  </w:style>
  <w:style w:type="character" w:styleId="Hiperligaovisitada">
    <w:name w:val="FollowedHyperlink"/>
    <w:basedOn w:val="Tipodeletrapredefinidodopargrafo"/>
    <w:uiPriority w:val="99"/>
    <w:semiHidden/>
    <w:unhideWhenUsed/>
    <w:rsid w:val="001D78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acionendesa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rldefense.com/v3/__https:/www.un.org/sustainabledevelopment/es/objetivos-de-desarrollo-sostenible/__;!!OjemSMKBgg!gdbJQlZV_kq_VKWV1PbrWhn-h17MW-MAvIM9bhJTWbf5bRnWXnUUiFrIiNvVoFMGJ956msqIrptyBBaR6UJbs0poY1rHdGykaYA$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desa.com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ipt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nel.com/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EMA xmlns="722f10b2-643e-47be-a301-b891cceeb921" xsi:nil="true"/>
    <POR_x00c1_MBITO xmlns="722f10b2-643e-47be-a301-b891cceeb921">
      <Value>GENERACIÓN</Value>
    </POR_x00c1_MBITO>
    <SUBTEMA xmlns="722f10b2-643e-47be-a301-b891cceeb921" xsi:nil="true"/>
    <TaxCatchAll xmlns="e893431b-ac2f-4a2b-a147-cbd99e410198" xsi:nil="true"/>
    <Lanzamiento xmlns="722f10b2-643e-47be-a301-b891cceeb921" xsi:nil="true"/>
    <lcf76f155ced4ddcb4097134ff3c332f xmlns="722f10b2-643e-47be-a301-b891cceeb921">
      <Terms xmlns="http://schemas.microsoft.com/office/infopath/2007/PartnerControls"/>
    </lcf76f155ced4ddcb4097134ff3c332f>
    <PORTERRITORIOS xmlns="722f10b2-643e-47be-a301-b891cceeb921">PORTUGAL</PORTERRITORIOS>
    <POREJE xmlns="722f10b2-643e-47be-a301-b891cceeb921">
      <Value>ELECTRIFICACIÓN</Value>
    </POREJE>
    <FECHA xmlns="722f10b2-643e-47be-a301-b891cceeb921">2024-09-23T22:00:00+00:00</FECH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D74F48518C498758E06E9B0C0BF2" ma:contentTypeVersion="25" ma:contentTypeDescription="Create a new document." ma:contentTypeScope="" ma:versionID="0fab24c19f5dcfb85ee32ff3a9240dda">
  <xsd:schema xmlns:xsd="http://www.w3.org/2001/XMLSchema" xmlns:xs="http://www.w3.org/2001/XMLSchema" xmlns:p="http://schemas.microsoft.com/office/2006/metadata/properties" xmlns:ns2="722f10b2-643e-47be-a301-b891cceeb921" xmlns:ns3="e893431b-ac2f-4a2b-a147-cbd99e410198" targetNamespace="http://schemas.microsoft.com/office/2006/metadata/properties" ma:root="true" ma:fieldsID="76c1d4332f1d10520136b5788673f867" ns2:_="" ns3:_="">
    <xsd:import namespace="722f10b2-643e-47be-a301-b891cceeb921"/>
    <xsd:import namespace="e893431b-ac2f-4a2b-a147-cbd99e410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anzamiento" minOccurs="0"/>
                <xsd:element ref="ns2:POREJE" minOccurs="0"/>
                <xsd:element ref="ns2:POR_x00c1_MBITO" minOccurs="0"/>
                <xsd:element ref="ns2:PORTERRITORIOS" minOccurs="0"/>
                <xsd:element ref="ns2:PORTEMA" minOccurs="0"/>
                <xsd:element ref="ns2:SUBTEM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10b2-643e-47be-a301-b891cceeb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anzamiento" ma:index="20" nillable="true" ma:displayName="Lanzamiento" ma:format="Dropdown" ma:internalName="Lanzamien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DS 3: Salud y Bienestar"/>
                    <xsd:enumeration value="ODS 4: Educación de calidad"/>
                    <xsd:enumeration value="ODS 5: Igualdad de género"/>
                    <xsd:enumeration value="ODS 6: Agua limpia y saneamiento"/>
                    <xsd:enumeration value="ODS 7: Energía asequible y no contaminante"/>
                    <xsd:enumeration value="ODS 8: Trabajo decente y crecimiento económico"/>
                    <xsd:enumeration value="ODS 9: Industria, Innovación e Infraestructura"/>
                    <xsd:enumeration value="ODS 10:  Reducción desigualdades"/>
                    <xsd:enumeration value="ODS 11: Ciudades y comunidades sostenibles"/>
                    <xsd:enumeration value="ODS 12: Producción y consumo responsables"/>
                    <xsd:enumeration value="ODS 13: Acción por el clima"/>
                    <xsd:enumeration value="ODS 14: Vida submarina"/>
                    <xsd:enumeration value="ODS 15: Vida de ecosistemas terrestres"/>
                    <xsd:enumeration value="ODS 16: Paz, justicia e instituciones sólidas"/>
                    <xsd:enumeration value="ODS 17: Alianzas para lograr los objetivos"/>
                  </xsd:restriction>
                </xsd:simpleType>
              </xsd:element>
            </xsd:sequence>
          </xsd:extension>
        </xsd:complexContent>
      </xsd:complexType>
    </xsd:element>
    <xsd:element name="POREJE" ma:index="21" nillable="true" ma:displayName="POR EJE" ma:description="ELEGIR UNO DE LOS EJES DE COMUNICACIÓN A LOS QUE SE REFIERA LA NOTA DE PRENSA" ma:format="Dropdown" ma:internalName="POREJ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LECTRIFICACIÓN"/>
                        <xsd:enumeration value="ACELERADORES DEL CRECIMIENTO"/>
                        <xsd:enumeration value="PERSONAS"/>
                        <xsd:enumeration value="Opción 4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OR_x00c1_MBITO" ma:index="22" nillable="true" ma:displayName="POR ÁMBITO" ma:format="Dropdown" ma:internalName="POR_x00c1_MBI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PORATIVO"/>
                    <xsd:enumeration value="GENERACIÓN"/>
                    <xsd:enumeration value="DISTRIBUCIÓN"/>
                    <xsd:enumeration value="COMERCIAL"/>
                    <xsd:enumeration value="INSTITUCIONAL"/>
                    <xsd:enumeration value="FUNDACIÓN ENDESA"/>
                    <xsd:enumeration value="FINANCIERO"/>
                    <xsd:enumeration value="REGULACIÓN"/>
                    <xsd:enumeration value="GESTIÓN ENERGÍA"/>
                    <xsd:enumeration value="SOSTENIBILIDAD"/>
                    <xsd:enumeration value="PATROCINIO"/>
                  </xsd:restriction>
                </xsd:simpleType>
              </xsd:element>
            </xsd:sequence>
          </xsd:extension>
        </xsd:complexContent>
      </xsd:complexType>
    </xsd:element>
    <xsd:element name="PORTERRITORIOS" ma:index="23" nillable="true" ma:displayName="POR TERRITORIOS" ma:format="Dropdown" ma:internalName="PORTERRITORIOS">
      <xsd:simpleType>
        <xsd:restriction base="dms:Choice">
          <xsd:enumeration value="CORPORATIVO"/>
          <xsd:enumeration value="SUR"/>
          <xsd:enumeration value="CATALUÑA"/>
          <xsd:enumeration value="NOROESTE"/>
          <xsd:enumeration value="ARAGÓN"/>
          <xsd:enumeration value="BALEARES"/>
          <xsd:enumeration value="CANARIAS"/>
          <xsd:enumeration value="PORTUGAL"/>
          <xsd:enumeration value="OTROS TERRITORIOS"/>
        </xsd:restriction>
      </xsd:simpleType>
    </xsd:element>
    <xsd:element name="PORTEMA" ma:index="24" nillable="true" ma:displayName="POR TEMA" ma:format="Dropdown" ma:internalName="PORTEMA">
      <xsd:simpleType>
        <xsd:restriction base="dms:Choice">
          <xsd:enumeration value="ENERGÍA ASEQUIBLE Y NO CONTAMINANTE"/>
          <xsd:enumeration value="DISTRIBUCIÓN FIABLE Y SEGURA"/>
          <xsd:enumeration value="SERVICIOS ALTA CALIDAD Y TECNOLOGÍA"/>
          <xsd:enumeration value="EMPODERAMIENTO PERSONAS"/>
          <xsd:enumeration value="IMPACTO AMBIENTAL Y SOCIAL"/>
          <xsd:enumeration value="TECNOLOGÍA E INNOVACIÓN"/>
          <xsd:enumeration value="Opción 7"/>
        </xsd:restriction>
      </xsd:simpleType>
    </xsd:element>
    <xsd:element name="SUBTEMA" ma:index="25" nillable="true" ma:displayName="SUBTEMA" ma:description="EJE ELECTRIFICACIÓN&#10;TEMA: ENERGIA ASEQUIBLE Y SEGURA" ma:format="Dropdown" ma:internalName="SUBTEMA">
      <xsd:simpleType>
        <xsd:restriction base="dms:Choice">
          <xsd:enumeration value="RENOVABLES"/>
          <xsd:enumeration value="ALMACENAMIENTO"/>
          <xsd:enumeration value="HIDRÓGENO VERDE"/>
          <xsd:enumeration value="TRANSFORMACIÓN CENTRALES"/>
          <xsd:enumeration value="REDES PARA DESCARBONIZACIÓN Y ELECTRIFICACIÓN"/>
          <xsd:enumeration value="DESARROLLO FUTURO DE LA RED"/>
          <xsd:enumeration value="GRID BLUE SKY"/>
          <xsd:enumeration value="BENEFICIOS ELECTRIFICACIÓN"/>
          <xsd:enumeration value="EXPERIENCIA Y SERVICIO AL CLIENTE"/>
          <xsd:enumeration value="PROPUESTA COMERCIAL INTEGRADA"/>
          <xsd:enumeration value="MOVILIDAD ELECTRICA"/>
          <xsd:enumeration value="SOLUCIONES SOSTENIBILIDAD"/>
          <xsd:enumeration value="SERVICIOS FINANCIEROS"/>
          <xsd:enumeration value="DERECHOS HUMANOS"/>
          <xsd:enumeration value="EMPODERAMIENTO MUJER"/>
          <xsd:enumeration value="DIVERSIDAD Y NEGOCIOS INCLUSIVOS"/>
          <xsd:enumeration value="SEGURIDAD Y SALUD LABORAL"/>
          <xsd:enumeration value="ACCESO A LA ENERGIA"/>
          <xsd:enumeration value="NUEVO MODELO DE TRABAJO"/>
          <xsd:enumeration value="CULTURA, EDUCACIÓN Y DEPORTE"/>
          <xsd:enumeration value="MEDIO AMBIENTE"/>
          <xsd:enumeration value="ECONOMIA CIRCULAR Y MATERIALES"/>
          <xsd:enumeration value="CADENA VALOR SOSTENIBLE"/>
          <xsd:enumeration value="FINANZAS SOSTENIBLES"/>
          <xsd:enumeration value="PLATAFORMAS, AUTOMATIZACIÓN, DIGITALIZACIÓN Y CIBERSGURIDAD"/>
          <xsd:enumeration value="NUEVAS TECNOLOGÍAS"/>
          <xsd:enumeration value="NEGOCIO DATOS"/>
          <xsd:enumeration value="ECOSISTEMA INNOV ABIERTA"/>
          <xsd:enumeration value="Opción 29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31" nillable="true" ma:displayName="FECHA" ma:description="FECHA PUBLICACIÓN" ma:format="DateOnly" ma:internalName="FECH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431b-ac2f-4a2b-a147-cbd99e410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c5b8ef2-bfed-4a02-960f-0306a8ff7c8a}" ma:internalName="TaxCatchAll" ma:showField="CatchAllData" ma:web="e893431b-ac2f-4a2b-a147-cbd99e410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E3E3B-F5CF-4DC9-997A-1B3616146C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A08B85-556A-455E-B63F-C8DB4B644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0E82E-B0EE-402A-BF04-A2DBA2B22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1040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Santos</dc:creator>
  <cp:keywords/>
  <dc:description/>
  <cp:lastModifiedBy>Sara Santos</cp:lastModifiedBy>
  <cp:revision>6</cp:revision>
  <dcterms:created xsi:type="dcterms:W3CDTF">2024-09-23T11:11:00Z</dcterms:created>
  <dcterms:modified xsi:type="dcterms:W3CDTF">2024-09-24T09:06:00Z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0x0101005D01D74F48518C498758E06E9B0C0BF2</vt:lpwstr>
  </property>
</Properties>
</file>