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70A20" w14:textId="21463ACA" w:rsidR="00691E43" w:rsidRPr="008818A9" w:rsidRDefault="00D50E68" w:rsidP="00B711F7">
      <w:pPr>
        <w:jc w:val="both"/>
        <w:rPr>
          <w:rFonts w:ascii="Arial" w:hAnsi="Arial"/>
          <w:b/>
          <w:bCs/>
          <w:sz w:val="26"/>
          <w:szCs w:val="26"/>
          <w:lang w:val="en-US"/>
        </w:rPr>
      </w:pPr>
      <w:r w:rsidRPr="008818A9">
        <w:rPr>
          <w:rFonts w:ascii="Arial" w:hAnsi="Arial"/>
          <w:b/>
          <w:bCs/>
          <w:sz w:val="26"/>
          <w:szCs w:val="26"/>
          <w:lang w:val="en-US"/>
        </w:rPr>
        <w:t>ENEL GROUP</w:t>
      </w:r>
      <w:r>
        <w:rPr>
          <w:rFonts w:ascii="Arial" w:hAnsi="Arial"/>
          <w:b/>
          <w:bCs/>
          <w:sz w:val="26"/>
          <w:szCs w:val="26"/>
          <w:lang w:val="en-US"/>
        </w:rPr>
        <w:t>, THE</w:t>
      </w:r>
      <w:r w:rsidRPr="008818A9">
        <w:rPr>
          <w:rFonts w:ascii="Arial" w:hAnsi="Arial"/>
          <w:b/>
          <w:bCs/>
          <w:sz w:val="26"/>
          <w:szCs w:val="26"/>
          <w:lang w:val="en-US"/>
        </w:rPr>
        <w:t xml:space="preserve"> 2025-2027 STRATEGY</w:t>
      </w:r>
      <w:r>
        <w:rPr>
          <w:rFonts w:ascii="Arial" w:hAnsi="Arial"/>
          <w:b/>
          <w:bCs/>
          <w:sz w:val="26"/>
          <w:szCs w:val="26"/>
          <w:lang w:val="en-US"/>
        </w:rPr>
        <w:t xml:space="preserve"> STARTS</w:t>
      </w:r>
      <w:r w:rsidRPr="008818A9">
        <w:rPr>
          <w:rFonts w:ascii="Arial" w:hAnsi="Arial"/>
          <w:b/>
          <w:bCs/>
          <w:sz w:val="26"/>
          <w:szCs w:val="26"/>
          <w:lang w:val="en-US"/>
        </w:rPr>
        <w:t xml:space="preserve"> A NEW CHAPTER OF </w:t>
      </w:r>
      <w:r>
        <w:rPr>
          <w:rFonts w:ascii="Arial" w:hAnsi="Arial"/>
          <w:b/>
          <w:bCs/>
          <w:sz w:val="26"/>
          <w:szCs w:val="26"/>
          <w:lang w:val="en-US"/>
        </w:rPr>
        <w:t xml:space="preserve">SUSTAINABLE </w:t>
      </w:r>
      <w:r w:rsidRPr="008818A9">
        <w:rPr>
          <w:rFonts w:ascii="Arial" w:hAnsi="Arial"/>
          <w:b/>
          <w:bCs/>
          <w:sz w:val="26"/>
          <w:szCs w:val="26"/>
          <w:lang w:val="en-US"/>
        </w:rPr>
        <w:t>GROWTH</w:t>
      </w:r>
      <w:r>
        <w:rPr>
          <w:rFonts w:ascii="Arial" w:hAnsi="Arial"/>
          <w:b/>
          <w:bCs/>
          <w:sz w:val="26"/>
          <w:szCs w:val="26"/>
          <w:lang w:val="en-US"/>
        </w:rPr>
        <w:t xml:space="preserve"> AND VALUE CREATION</w:t>
      </w:r>
      <w:r w:rsidRPr="008818A9">
        <w:rPr>
          <w:rFonts w:ascii="Arial" w:hAnsi="Arial"/>
          <w:b/>
          <w:bCs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bCs/>
          <w:sz w:val="26"/>
          <w:szCs w:val="26"/>
          <w:lang w:val="en-US"/>
        </w:rPr>
        <w:t xml:space="preserve">THROUGH THE </w:t>
      </w:r>
      <w:r w:rsidRPr="008818A9">
        <w:rPr>
          <w:rFonts w:ascii="Arial" w:hAnsi="Arial"/>
          <w:b/>
          <w:bCs/>
          <w:sz w:val="26"/>
          <w:szCs w:val="26"/>
          <w:lang w:val="en-US"/>
        </w:rPr>
        <w:t>FINANCIAL SOLIDITY</w:t>
      </w:r>
      <w:r>
        <w:rPr>
          <w:rFonts w:ascii="Arial" w:hAnsi="Arial"/>
          <w:b/>
          <w:bCs/>
          <w:sz w:val="26"/>
          <w:szCs w:val="26"/>
          <w:lang w:val="en-US"/>
        </w:rPr>
        <w:t xml:space="preserve"> ACHIEVED:</w:t>
      </w:r>
      <w:r w:rsidRPr="008818A9">
        <w:rPr>
          <w:rFonts w:ascii="Arial" w:hAnsi="Arial"/>
          <w:b/>
          <w:bCs/>
          <w:sz w:val="26"/>
          <w:szCs w:val="26"/>
          <w:lang w:val="en-US"/>
        </w:rPr>
        <w:t xml:space="preserve"> INVESTMENTS INCREASING TO 43 BILLION EUROS</w:t>
      </w:r>
      <w:r>
        <w:rPr>
          <w:rFonts w:ascii="Arial" w:hAnsi="Arial"/>
          <w:b/>
          <w:bCs/>
          <w:sz w:val="26"/>
          <w:szCs w:val="26"/>
          <w:lang w:val="en-US"/>
        </w:rPr>
        <w:t>, GROWING MARGINS</w:t>
      </w:r>
      <w:r w:rsidRPr="008818A9">
        <w:rPr>
          <w:rFonts w:ascii="Arial" w:hAnsi="Arial"/>
          <w:b/>
          <w:bCs/>
          <w:sz w:val="26"/>
          <w:szCs w:val="26"/>
          <w:lang w:val="en-US"/>
        </w:rPr>
        <w:t xml:space="preserve"> AND DIVIDEND POLICY REVISED UPWARDS</w:t>
      </w:r>
    </w:p>
    <w:p w14:paraId="5F0CF87D" w14:textId="77777777" w:rsidR="00ED7B94" w:rsidRDefault="00ED7B94" w:rsidP="00ED7B94">
      <w:pPr>
        <w:pStyle w:val="Default"/>
        <w:jc w:val="both"/>
        <w:rPr>
          <w:i/>
          <w:iCs/>
          <w:sz w:val="20"/>
          <w:szCs w:val="20"/>
          <w:lang w:val="en-US"/>
        </w:rPr>
      </w:pPr>
    </w:p>
    <w:p w14:paraId="64446747" w14:textId="64D6D7B7" w:rsidR="00ED7B94" w:rsidRDefault="00ED7B94" w:rsidP="00B711F7">
      <w:pPr>
        <w:pStyle w:val="Default"/>
        <w:numPr>
          <w:ilvl w:val="0"/>
          <w:numId w:val="23"/>
        </w:numPr>
        <w:jc w:val="both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In </w:t>
      </w:r>
      <w:r w:rsidRPr="00355F48">
        <w:rPr>
          <w:b/>
          <w:bCs/>
          <w:i/>
          <w:iCs/>
          <w:sz w:val="20"/>
          <w:szCs w:val="20"/>
          <w:lang w:val="en-US"/>
        </w:rPr>
        <w:t>2024</w:t>
      </w:r>
      <w:r>
        <w:rPr>
          <w:i/>
          <w:iCs/>
          <w:sz w:val="20"/>
          <w:szCs w:val="20"/>
          <w:lang w:val="en-US"/>
        </w:rPr>
        <w:t xml:space="preserve">, the Enel Group (the “Group”) </w:t>
      </w:r>
      <w:r w:rsidR="00CC2078">
        <w:rPr>
          <w:i/>
          <w:iCs/>
          <w:sz w:val="20"/>
          <w:szCs w:val="20"/>
          <w:lang w:val="en-US"/>
        </w:rPr>
        <w:t xml:space="preserve">posted a </w:t>
      </w:r>
      <w:r w:rsidR="00CC2078" w:rsidRPr="00CC2078">
        <w:rPr>
          <w:b/>
          <w:bCs/>
          <w:i/>
          <w:iCs/>
          <w:sz w:val="20"/>
          <w:szCs w:val="20"/>
          <w:lang w:val="en-US"/>
        </w:rPr>
        <w:t>solid performance</w:t>
      </w:r>
      <w:r w:rsidR="00CC2078">
        <w:rPr>
          <w:i/>
          <w:iCs/>
          <w:sz w:val="20"/>
          <w:szCs w:val="20"/>
          <w:lang w:val="en-US"/>
        </w:rPr>
        <w:t xml:space="preserve">, reflecting its </w:t>
      </w:r>
      <w:r w:rsidR="00CC2078" w:rsidRPr="00CC2078">
        <w:rPr>
          <w:b/>
          <w:bCs/>
          <w:i/>
          <w:iCs/>
          <w:sz w:val="20"/>
          <w:szCs w:val="20"/>
          <w:lang w:val="en-US"/>
        </w:rPr>
        <w:t>ability to reach objectives</w:t>
      </w:r>
      <w:r w:rsidR="00CC2078">
        <w:rPr>
          <w:i/>
          <w:iCs/>
          <w:sz w:val="20"/>
          <w:szCs w:val="20"/>
          <w:lang w:val="en-US"/>
        </w:rPr>
        <w:t xml:space="preserve"> in line with the </w:t>
      </w:r>
      <w:r w:rsidR="00E172CA">
        <w:rPr>
          <w:i/>
          <w:iCs/>
          <w:sz w:val="20"/>
          <w:szCs w:val="20"/>
          <w:lang w:val="en-US"/>
        </w:rPr>
        <w:t>Strategic Plan presented</w:t>
      </w:r>
      <w:r w:rsidR="00CC2078">
        <w:rPr>
          <w:i/>
          <w:iCs/>
          <w:sz w:val="20"/>
          <w:szCs w:val="20"/>
          <w:lang w:val="en-US"/>
        </w:rPr>
        <w:t xml:space="preserve"> a year ago</w:t>
      </w:r>
    </w:p>
    <w:p w14:paraId="06EC27A0" w14:textId="77777777" w:rsidR="00ED7B94" w:rsidRDefault="00ED7B94" w:rsidP="00ED7B94">
      <w:pPr>
        <w:pStyle w:val="Default"/>
        <w:ind w:left="720"/>
        <w:jc w:val="both"/>
        <w:rPr>
          <w:i/>
          <w:iCs/>
          <w:sz w:val="20"/>
          <w:szCs w:val="20"/>
          <w:lang w:val="en-US"/>
        </w:rPr>
      </w:pPr>
    </w:p>
    <w:p w14:paraId="67B0C2E2" w14:textId="6600174F" w:rsidR="00B711F7" w:rsidRPr="00D15683" w:rsidRDefault="00B711F7" w:rsidP="00B711F7">
      <w:pPr>
        <w:pStyle w:val="Default"/>
        <w:numPr>
          <w:ilvl w:val="0"/>
          <w:numId w:val="23"/>
        </w:numPr>
        <w:jc w:val="both"/>
        <w:rPr>
          <w:i/>
          <w:iCs/>
          <w:sz w:val="20"/>
          <w:szCs w:val="20"/>
          <w:lang w:val="en-US"/>
        </w:rPr>
      </w:pPr>
      <w:r w:rsidRPr="00D15683">
        <w:rPr>
          <w:i/>
          <w:iCs/>
          <w:sz w:val="20"/>
          <w:szCs w:val="20"/>
          <w:lang w:val="en-US"/>
        </w:rPr>
        <w:t xml:space="preserve">In the </w:t>
      </w:r>
      <w:r w:rsidRPr="00355F48">
        <w:rPr>
          <w:b/>
          <w:bCs/>
          <w:i/>
          <w:iCs/>
          <w:sz w:val="20"/>
          <w:szCs w:val="20"/>
          <w:lang w:val="en-US"/>
        </w:rPr>
        <w:t>202</w:t>
      </w:r>
      <w:r w:rsidR="00D15683" w:rsidRPr="00355F48">
        <w:rPr>
          <w:b/>
          <w:bCs/>
          <w:i/>
          <w:iCs/>
          <w:sz w:val="20"/>
          <w:szCs w:val="20"/>
          <w:lang w:val="en-US"/>
        </w:rPr>
        <w:t>5</w:t>
      </w:r>
      <w:r w:rsidRPr="00355F48">
        <w:rPr>
          <w:b/>
          <w:bCs/>
          <w:i/>
          <w:iCs/>
          <w:sz w:val="20"/>
          <w:szCs w:val="20"/>
          <w:lang w:val="en-US"/>
        </w:rPr>
        <w:t>-202</w:t>
      </w:r>
      <w:r w:rsidR="00D15683" w:rsidRPr="00355F48">
        <w:rPr>
          <w:b/>
          <w:bCs/>
          <w:i/>
          <w:iCs/>
          <w:sz w:val="20"/>
          <w:szCs w:val="20"/>
          <w:lang w:val="en-US"/>
        </w:rPr>
        <w:t>7</w:t>
      </w:r>
      <w:r w:rsidRPr="00355F48">
        <w:rPr>
          <w:b/>
          <w:bCs/>
          <w:i/>
          <w:iCs/>
          <w:sz w:val="20"/>
          <w:szCs w:val="20"/>
          <w:lang w:val="en-US"/>
        </w:rPr>
        <w:t xml:space="preserve"> Plan </w:t>
      </w:r>
      <w:r w:rsidRPr="00355F48">
        <w:rPr>
          <w:i/>
          <w:iCs/>
          <w:sz w:val="20"/>
          <w:szCs w:val="20"/>
          <w:lang w:val="en-US"/>
        </w:rPr>
        <w:t>period</w:t>
      </w:r>
      <w:r w:rsidRPr="00D15683">
        <w:rPr>
          <w:i/>
          <w:iCs/>
          <w:sz w:val="20"/>
          <w:szCs w:val="20"/>
          <w:lang w:val="en-US"/>
        </w:rPr>
        <w:t xml:space="preserve">, the Group </w:t>
      </w:r>
      <w:r w:rsidR="00D15683" w:rsidRPr="00D15683">
        <w:rPr>
          <w:i/>
          <w:iCs/>
          <w:sz w:val="20"/>
          <w:szCs w:val="20"/>
          <w:lang w:val="en-US"/>
        </w:rPr>
        <w:t xml:space="preserve">confirms </w:t>
      </w:r>
      <w:r w:rsidR="00C54075">
        <w:rPr>
          <w:i/>
          <w:iCs/>
          <w:sz w:val="20"/>
          <w:szCs w:val="20"/>
          <w:lang w:val="en-US"/>
        </w:rPr>
        <w:t>its</w:t>
      </w:r>
      <w:r w:rsidR="002B0BE9">
        <w:rPr>
          <w:i/>
          <w:iCs/>
          <w:sz w:val="20"/>
          <w:szCs w:val="20"/>
          <w:lang w:val="en-US"/>
        </w:rPr>
        <w:t xml:space="preserve"> strategic pillars</w:t>
      </w:r>
      <w:r w:rsidRPr="00D15683">
        <w:rPr>
          <w:i/>
          <w:iCs/>
          <w:sz w:val="20"/>
          <w:szCs w:val="20"/>
          <w:lang w:val="en-US"/>
        </w:rPr>
        <w:t>:</w:t>
      </w:r>
    </w:p>
    <w:p w14:paraId="03313B3C" w14:textId="77777777" w:rsidR="00B711F7" w:rsidRPr="00D15683" w:rsidRDefault="00B711F7" w:rsidP="00B711F7">
      <w:pPr>
        <w:pStyle w:val="Default"/>
        <w:jc w:val="both"/>
        <w:rPr>
          <w:i/>
          <w:iCs/>
          <w:sz w:val="20"/>
          <w:szCs w:val="20"/>
          <w:lang w:val="en-US"/>
        </w:rPr>
      </w:pPr>
    </w:p>
    <w:p w14:paraId="1EB81CB4" w14:textId="60746385" w:rsidR="00D15683" w:rsidRPr="00D15683" w:rsidRDefault="00D15683" w:rsidP="00D15683">
      <w:pPr>
        <w:pStyle w:val="Default"/>
        <w:numPr>
          <w:ilvl w:val="0"/>
          <w:numId w:val="37"/>
        </w:numPr>
        <w:jc w:val="both"/>
        <w:rPr>
          <w:i/>
          <w:iCs/>
          <w:sz w:val="20"/>
          <w:szCs w:val="20"/>
          <w:lang w:val="en-US"/>
        </w:rPr>
      </w:pPr>
      <w:r w:rsidRPr="00D15683">
        <w:rPr>
          <w:b/>
          <w:bCs/>
          <w:i/>
          <w:iCs/>
          <w:sz w:val="20"/>
          <w:szCs w:val="20"/>
          <w:lang w:val="en-US"/>
        </w:rPr>
        <w:t>Profitability, flexibility and resiliency</w:t>
      </w:r>
      <w:r w:rsidRPr="00D15683">
        <w:rPr>
          <w:i/>
          <w:iCs/>
          <w:sz w:val="20"/>
          <w:szCs w:val="20"/>
          <w:lang w:val="en-US"/>
        </w:rPr>
        <w:t xml:space="preserve"> to generate value through </w:t>
      </w:r>
      <w:r w:rsidR="00AA254E">
        <w:rPr>
          <w:i/>
          <w:iCs/>
          <w:sz w:val="20"/>
          <w:szCs w:val="20"/>
          <w:lang w:val="en-US"/>
        </w:rPr>
        <w:t xml:space="preserve">selective </w:t>
      </w:r>
      <w:r w:rsidRPr="00D15683">
        <w:rPr>
          <w:i/>
          <w:iCs/>
          <w:sz w:val="20"/>
          <w:szCs w:val="20"/>
          <w:lang w:val="en-US"/>
        </w:rPr>
        <w:t>capital allocation that optimize</w:t>
      </w:r>
      <w:r w:rsidR="006C2C37">
        <w:rPr>
          <w:i/>
          <w:iCs/>
          <w:sz w:val="20"/>
          <w:szCs w:val="20"/>
          <w:lang w:val="en-US"/>
        </w:rPr>
        <w:t>s</w:t>
      </w:r>
      <w:r w:rsidRPr="00D15683">
        <w:rPr>
          <w:i/>
          <w:iCs/>
          <w:sz w:val="20"/>
          <w:szCs w:val="20"/>
          <w:lang w:val="en-US"/>
        </w:rPr>
        <w:t xml:space="preserve"> the risk/return profile while maintaining a flexible approach</w:t>
      </w:r>
    </w:p>
    <w:p w14:paraId="1831E4B5" w14:textId="6F3208B0" w:rsidR="00D15683" w:rsidRPr="00D15683" w:rsidRDefault="00D15683" w:rsidP="00D15683">
      <w:pPr>
        <w:pStyle w:val="Default"/>
        <w:numPr>
          <w:ilvl w:val="0"/>
          <w:numId w:val="37"/>
        </w:numPr>
        <w:jc w:val="both"/>
        <w:rPr>
          <w:i/>
          <w:iCs/>
          <w:sz w:val="20"/>
          <w:szCs w:val="20"/>
          <w:lang w:val="en-US"/>
        </w:rPr>
      </w:pPr>
      <w:r w:rsidRPr="00D15683">
        <w:rPr>
          <w:b/>
          <w:bCs/>
          <w:i/>
          <w:iCs/>
          <w:sz w:val="20"/>
          <w:szCs w:val="20"/>
          <w:lang w:val="en-US"/>
        </w:rPr>
        <w:t>Efficiency and effectiveness</w:t>
      </w:r>
      <w:r w:rsidRPr="00D15683">
        <w:rPr>
          <w:i/>
          <w:iCs/>
          <w:sz w:val="20"/>
          <w:szCs w:val="20"/>
          <w:lang w:val="en-US"/>
        </w:rPr>
        <w:t xml:space="preserve"> with a continued </w:t>
      </w:r>
      <w:r w:rsidR="00713D98">
        <w:rPr>
          <w:i/>
          <w:iCs/>
          <w:sz w:val="20"/>
          <w:szCs w:val="20"/>
          <w:lang w:val="en-US"/>
        </w:rPr>
        <w:t>optimization</w:t>
      </w:r>
      <w:r w:rsidR="00713D98" w:rsidRPr="00D15683">
        <w:rPr>
          <w:i/>
          <w:iCs/>
          <w:sz w:val="20"/>
          <w:szCs w:val="20"/>
          <w:lang w:val="en-US"/>
        </w:rPr>
        <w:t xml:space="preserve"> </w:t>
      </w:r>
      <w:r w:rsidRPr="00D15683">
        <w:rPr>
          <w:i/>
          <w:iCs/>
          <w:sz w:val="20"/>
          <w:szCs w:val="20"/>
          <w:lang w:val="en-US"/>
        </w:rPr>
        <w:t>of processes, activities and</w:t>
      </w:r>
      <w:r w:rsidR="00AA254E">
        <w:rPr>
          <w:i/>
          <w:iCs/>
          <w:sz w:val="20"/>
          <w:szCs w:val="20"/>
          <w:lang w:val="en-US"/>
        </w:rPr>
        <w:t xml:space="preserve"> portfolio of</w:t>
      </w:r>
      <w:r w:rsidRPr="00D15683">
        <w:rPr>
          <w:i/>
          <w:iCs/>
          <w:sz w:val="20"/>
          <w:szCs w:val="20"/>
          <w:lang w:val="en-US"/>
        </w:rPr>
        <w:t xml:space="preserve"> offerings, </w:t>
      </w:r>
      <w:r w:rsidR="00B536B4">
        <w:rPr>
          <w:i/>
          <w:iCs/>
          <w:sz w:val="20"/>
          <w:szCs w:val="20"/>
          <w:lang w:val="en-US"/>
        </w:rPr>
        <w:t>strengthening</w:t>
      </w:r>
      <w:r w:rsidR="00B536B4" w:rsidRPr="00D15683">
        <w:rPr>
          <w:i/>
          <w:iCs/>
          <w:sz w:val="20"/>
          <w:szCs w:val="20"/>
          <w:lang w:val="en-US"/>
        </w:rPr>
        <w:t xml:space="preserve"> </w:t>
      </w:r>
      <w:r w:rsidRPr="00D15683">
        <w:rPr>
          <w:i/>
          <w:iCs/>
          <w:sz w:val="20"/>
          <w:szCs w:val="20"/>
          <w:lang w:val="en-US"/>
        </w:rPr>
        <w:t xml:space="preserve">cash generation and developing innovative solutions to enhance the value of </w:t>
      </w:r>
      <w:r w:rsidR="00AA254E">
        <w:rPr>
          <w:i/>
          <w:iCs/>
          <w:sz w:val="20"/>
          <w:szCs w:val="20"/>
          <w:lang w:val="en-US"/>
        </w:rPr>
        <w:t>existing</w:t>
      </w:r>
      <w:r w:rsidRPr="00D15683">
        <w:rPr>
          <w:i/>
          <w:iCs/>
          <w:sz w:val="20"/>
          <w:szCs w:val="20"/>
          <w:lang w:val="en-US"/>
        </w:rPr>
        <w:t xml:space="preserve"> assets</w:t>
      </w:r>
    </w:p>
    <w:p w14:paraId="4D1FB9E3" w14:textId="049FD7F9" w:rsidR="00D15683" w:rsidRPr="00D15683" w:rsidRDefault="00D15683" w:rsidP="00D15683">
      <w:pPr>
        <w:pStyle w:val="Default"/>
        <w:numPr>
          <w:ilvl w:val="0"/>
          <w:numId w:val="37"/>
        </w:numPr>
        <w:jc w:val="both"/>
        <w:rPr>
          <w:b/>
          <w:bCs/>
          <w:i/>
          <w:iCs/>
          <w:sz w:val="20"/>
          <w:szCs w:val="20"/>
          <w:lang w:val="en-US"/>
        </w:rPr>
      </w:pPr>
      <w:r w:rsidRPr="00D15683">
        <w:rPr>
          <w:b/>
          <w:bCs/>
          <w:i/>
          <w:iCs/>
          <w:sz w:val="20"/>
          <w:szCs w:val="20"/>
          <w:lang w:val="en-US"/>
        </w:rPr>
        <w:t>Financial and environmental</w:t>
      </w:r>
      <w:r w:rsidRPr="00D15683">
        <w:rPr>
          <w:i/>
          <w:iCs/>
          <w:sz w:val="20"/>
          <w:szCs w:val="20"/>
          <w:lang w:val="en-US"/>
        </w:rPr>
        <w:t xml:space="preserve"> </w:t>
      </w:r>
      <w:r w:rsidRPr="00D15683">
        <w:rPr>
          <w:b/>
          <w:bCs/>
          <w:i/>
          <w:iCs/>
          <w:sz w:val="20"/>
          <w:szCs w:val="20"/>
          <w:lang w:val="en-US"/>
        </w:rPr>
        <w:t xml:space="preserve">sustainability </w:t>
      </w:r>
      <w:r w:rsidRPr="00D15683">
        <w:rPr>
          <w:i/>
          <w:iCs/>
          <w:sz w:val="20"/>
          <w:szCs w:val="20"/>
          <w:lang w:val="en-US"/>
        </w:rPr>
        <w:t>to maintain a solid structure,</w:t>
      </w:r>
      <w:r w:rsidR="00B536B4">
        <w:rPr>
          <w:i/>
          <w:iCs/>
          <w:sz w:val="20"/>
          <w:szCs w:val="20"/>
          <w:lang w:val="en-US"/>
        </w:rPr>
        <w:t xml:space="preserve"> ensuring the flexibility</w:t>
      </w:r>
      <w:r w:rsidRPr="00D15683">
        <w:rPr>
          <w:i/>
          <w:iCs/>
          <w:sz w:val="20"/>
          <w:szCs w:val="20"/>
          <w:lang w:val="en-US"/>
        </w:rPr>
        <w:t xml:space="preserve"> </w:t>
      </w:r>
      <w:r w:rsidR="00B536B4">
        <w:rPr>
          <w:i/>
          <w:iCs/>
          <w:sz w:val="20"/>
          <w:szCs w:val="20"/>
          <w:lang w:val="en-US"/>
        </w:rPr>
        <w:t xml:space="preserve">required for growth and </w:t>
      </w:r>
      <w:r w:rsidRPr="00D15683">
        <w:rPr>
          <w:i/>
          <w:iCs/>
          <w:sz w:val="20"/>
          <w:szCs w:val="20"/>
          <w:lang w:val="en-US"/>
        </w:rPr>
        <w:t>address</w:t>
      </w:r>
      <w:r w:rsidR="00B536B4">
        <w:rPr>
          <w:i/>
          <w:iCs/>
          <w:sz w:val="20"/>
          <w:szCs w:val="20"/>
          <w:lang w:val="en-US"/>
        </w:rPr>
        <w:t>ing the</w:t>
      </w:r>
      <w:r w:rsidRPr="00D15683">
        <w:rPr>
          <w:i/>
          <w:iCs/>
          <w:sz w:val="20"/>
          <w:szCs w:val="20"/>
          <w:lang w:val="en-US"/>
        </w:rPr>
        <w:t xml:space="preserve"> challenges posed by climate change</w:t>
      </w:r>
    </w:p>
    <w:p w14:paraId="0E90D582" w14:textId="77777777" w:rsidR="00B711F7" w:rsidRPr="00D15683" w:rsidRDefault="00B711F7" w:rsidP="00B711F7">
      <w:pPr>
        <w:pStyle w:val="Default"/>
        <w:ind w:left="709"/>
        <w:jc w:val="both"/>
        <w:rPr>
          <w:sz w:val="20"/>
          <w:szCs w:val="20"/>
          <w:lang w:val="en-US"/>
        </w:rPr>
      </w:pPr>
    </w:p>
    <w:p w14:paraId="655B91F3" w14:textId="1A45A31F" w:rsidR="00B711F7" w:rsidRPr="00D15683" w:rsidRDefault="00EB7EF9" w:rsidP="00B711F7">
      <w:pPr>
        <w:pStyle w:val="Default"/>
        <w:numPr>
          <w:ilvl w:val="0"/>
          <w:numId w:val="23"/>
        </w:numPr>
        <w:jc w:val="both"/>
        <w:rPr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>In the</w:t>
      </w:r>
      <w:r w:rsidRPr="00ED7B94">
        <w:rPr>
          <w:b/>
          <w:bCs/>
          <w:i/>
          <w:iCs/>
          <w:sz w:val="20"/>
          <w:szCs w:val="20"/>
          <w:lang w:val="en-US"/>
        </w:rPr>
        <w:t xml:space="preserve"> </w:t>
      </w:r>
      <w:r w:rsidR="00B711F7" w:rsidRPr="00ED7B94">
        <w:rPr>
          <w:b/>
          <w:bCs/>
          <w:i/>
          <w:iCs/>
          <w:sz w:val="20"/>
          <w:szCs w:val="20"/>
          <w:lang w:val="en-US"/>
        </w:rPr>
        <w:t>202</w:t>
      </w:r>
      <w:r w:rsidR="00D15683" w:rsidRPr="00ED7B94">
        <w:rPr>
          <w:b/>
          <w:bCs/>
          <w:i/>
          <w:iCs/>
          <w:sz w:val="20"/>
          <w:szCs w:val="20"/>
          <w:lang w:val="en-US"/>
        </w:rPr>
        <w:t>5</w:t>
      </w:r>
      <w:r>
        <w:rPr>
          <w:b/>
          <w:bCs/>
          <w:i/>
          <w:iCs/>
          <w:sz w:val="20"/>
          <w:szCs w:val="20"/>
          <w:lang w:val="en-US"/>
        </w:rPr>
        <w:t>-</w:t>
      </w:r>
      <w:r w:rsidR="00B711F7" w:rsidRPr="00ED7B94">
        <w:rPr>
          <w:b/>
          <w:bCs/>
          <w:i/>
          <w:iCs/>
          <w:sz w:val="20"/>
          <w:szCs w:val="20"/>
          <w:lang w:val="en-US"/>
        </w:rPr>
        <w:t>202</w:t>
      </w:r>
      <w:r w:rsidR="00D15683" w:rsidRPr="00ED7B94">
        <w:rPr>
          <w:b/>
          <w:bCs/>
          <w:i/>
          <w:iCs/>
          <w:sz w:val="20"/>
          <w:szCs w:val="20"/>
          <w:lang w:val="en-US"/>
        </w:rPr>
        <w:t>7</w:t>
      </w:r>
      <w:r>
        <w:rPr>
          <w:b/>
          <w:bCs/>
          <w:i/>
          <w:iCs/>
          <w:sz w:val="20"/>
          <w:szCs w:val="20"/>
          <w:lang w:val="en-US"/>
        </w:rPr>
        <w:t xml:space="preserve"> Plan</w:t>
      </w:r>
      <w:r w:rsidR="00B711F7" w:rsidRPr="00D15683">
        <w:rPr>
          <w:rFonts w:eastAsia="Calibri"/>
          <w:i/>
          <w:iCs/>
          <w:sz w:val="20"/>
          <w:szCs w:val="20"/>
          <w:lang w:val="en-US" w:eastAsia="en-US"/>
        </w:rPr>
        <w:t xml:space="preserve">, </w:t>
      </w:r>
      <w:r>
        <w:rPr>
          <w:rFonts w:eastAsia="Calibri"/>
          <w:b/>
          <w:bCs/>
          <w:i/>
          <w:iCs/>
          <w:sz w:val="20"/>
          <w:szCs w:val="20"/>
          <w:lang w:val="en-US" w:eastAsia="en-US"/>
        </w:rPr>
        <w:t>Group</w:t>
      </w:r>
      <w:r w:rsidR="00B711F7" w:rsidRPr="00D15683">
        <w:rPr>
          <w:rFonts w:eastAsia="Calibri"/>
          <w:b/>
          <w:bCs/>
          <w:i/>
          <w:iCs/>
          <w:sz w:val="20"/>
          <w:szCs w:val="20"/>
          <w:lang w:val="en-US" w:eastAsia="en-US"/>
        </w:rPr>
        <w:t xml:space="preserve"> total gross capex </w:t>
      </w:r>
      <w:r w:rsidR="0054455D" w:rsidRPr="009D4925">
        <w:rPr>
          <w:rFonts w:eastAsia="Calibri"/>
          <w:i/>
          <w:iCs/>
          <w:sz w:val="20"/>
          <w:szCs w:val="20"/>
          <w:lang w:val="en-US" w:eastAsia="en-US"/>
        </w:rPr>
        <w:t>amount</w:t>
      </w:r>
      <w:r w:rsidR="00670FDE">
        <w:rPr>
          <w:rFonts w:eastAsia="Calibri"/>
          <w:i/>
          <w:iCs/>
          <w:sz w:val="20"/>
          <w:szCs w:val="20"/>
          <w:lang w:val="en-US" w:eastAsia="en-US"/>
        </w:rPr>
        <w:t>s</w:t>
      </w:r>
      <w:r w:rsidR="0054455D" w:rsidRPr="009D4925">
        <w:rPr>
          <w:rFonts w:eastAsia="Calibri"/>
          <w:i/>
          <w:iCs/>
          <w:sz w:val="20"/>
          <w:szCs w:val="20"/>
          <w:lang w:val="en-US" w:eastAsia="en-US"/>
        </w:rPr>
        <w:t xml:space="preserve"> to</w:t>
      </w:r>
      <w:r w:rsidR="0054455D" w:rsidRPr="00D15683">
        <w:rPr>
          <w:rFonts w:eastAsia="Calibri"/>
          <w:b/>
          <w:bCs/>
          <w:i/>
          <w:iCs/>
          <w:sz w:val="20"/>
          <w:szCs w:val="20"/>
          <w:lang w:val="en-US" w:eastAsia="en-US"/>
        </w:rPr>
        <w:t xml:space="preserve"> </w:t>
      </w:r>
      <w:r w:rsidR="00B711F7" w:rsidRPr="00D15683">
        <w:rPr>
          <w:rFonts w:eastAsia="Calibri"/>
          <w:b/>
          <w:bCs/>
          <w:i/>
          <w:iCs/>
          <w:sz w:val="20"/>
          <w:szCs w:val="20"/>
          <w:lang w:val="en-US" w:eastAsia="en-US"/>
        </w:rPr>
        <w:t xml:space="preserve">approximately </w:t>
      </w:r>
      <w:r w:rsidR="00D15683" w:rsidRPr="00D15683">
        <w:rPr>
          <w:rFonts w:eastAsia="Calibri"/>
          <w:b/>
          <w:bCs/>
          <w:i/>
          <w:iCs/>
          <w:sz w:val="20"/>
          <w:szCs w:val="20"/>
          <w:lang w:val="en-US" w:eastAsia="en-US"/>
        </w:rPr>
        <w:t>43</w:t>
      </w:r>
      <w:r w:rsidR="00B711F7" w:rsidRPr="00D15683">
        <w:rPr>
          <w:rFonts w:eastAsia="Calibri"/>
          <w:b/>
          <w:bCs/>
          <w:i/>
          <w:iCs/>
          <w:sz w:val="20"/>
          <w:szCs w:val="20"/>
          <w:lang w:val="en-US" w:eastAsia="en-US"/>
        </w:rPr>
        <w:t xml:space="preserve"> billion euros</w:t>
      </w:r>
      <w:r w:rsidR="00181E6B">
        <w:rPr>
          <w:rFonts w:eastAsia="Calibri"/>
          <w:b/>
          <w:bCs/>
          <w:i/>
          <w:iCs/>
          <w:sz w:val="20"/>
          <w:szCs w:val="20"/>
          <w:lang w:val="en-US" w:eastAsia="en-US"/>
        </w:rPr>
        <w:t>,</w:t>
      </w:r>
      <w:r w:rsidR="00A463EC">
        <w:rPr>
          <w:rFonts w:eastAsia="Calibri"/>
          <w:b/>
          <w:bCs/>
          <w:i/>
          <w:iCs/>
          <w:sz w:val="20"/>
          <w:szCs w:val="20"/>
          <w:lang w:val="en-US" w:eastAsia="en-US"/>
        </w:rPr>
        <w:t xml:space="preserve"> </w:t>
      </w:r>
      <w:r w:rsidR="00181E6B">
        <w:rPr>
          <w:rFonts w:eastAsia="Calibri"/>
          <w:b/>
          <w:bCs/>
          <w:i/>
          <w:iCs/>
          <w:sz w:val="20"/>
          <w:szCs w:val="20"/>
          <w:lang w:val="en-US" w:eastAsia="en-US"/>
        </w:rPr>
        <w:t xml:space="preserve">around </w:t>
      </w:r>
      <w:r w:rsidR="00A463EC">
        <w:rPr>
          <w:rFonts w:eastAsia="Calibri"/>
          <w:b/>
          <w:bCs/>
          <w:i/>
          <w:iCs/>
          <w:sz w:val="20"/>
          <w:szCs w:val="20"/>
          <w:lang w:val="en-US" w:eastAsia="en-US"/>
        </w:rPr>
        <w:t xml:space="preserve">7 billion euros </w:t>
      </w:r>
      <w:r w:rsidR="00181E6B">
        <w:rPr>
          <w:rFonts w:eastAsia="Calibri"/>
          <w:b/>
          <w:bCs/>
          <w:i/>
          <w:iCs/>
          <w:sz w:val="20"/>
          <w:szCs w:val="20"/>
          <w:lang w:val="en-US" w:eastAsia="en-US"/>
        </w:rPr>
        <w:t>more than the</w:t>
      </w:r>
      <w:r w:rsidR="00A463EC">
        <w:rPr>
          <w:rFonts w:eastAsia="Calibri"/>
          <w:b/>
          <w:bCs/>
          <w:i/>
          <w:iCs/>
          <w:sz w:val="20"/>
          <w:szCs w:val="20"/>
          <w:lang w:val="en-US" w:eastAsia="en-US"/>
        </w:rPr>
        <w:t xml:space="preserve"> previous Plan</w:t>
      </w:r>
      <w:r w:rsidR="00AA254E">
        <w:rPr>
          <w:i/>
          <w:iCs/>
          <w:sz w:val="20"/>
          <w:szCs w:val="20"/>
          <w:lang w:val="en-US"/>
        </w:rPr>
        <w:t>. Specifically</w:t>
      </w:r>
      <w:r w:rsidR="00A0019E">
        <w:rPr>
          <w:i/>
          <w:iCs/>
          <w:sz w:val="20"/>
          <w:szCs w:val="20"/>
          <w:lang w:val="en-US"/>
        </w:rPr>
        <w:t>, the Group expects to allocate</w:t>
      </w:r>
      <w:r w:rsidR="00D15683">
        <w:rPr>
          <w:i/>
          <w:iCs/>
          <w:sz w:val="20"/>
          <w:szCs w:val="20"/>
          <w:lang w:val="en-US"/>
        </w:rPr>
        <w:t xml:space="preserve">: </w:t>
      </w:r>
    </w:p>
    <w:p w14:paraId="04FAFA30" w14:textId="77777777" w:rsidR="00B711F7" w:rsidRPr="00E3314A" w:rsidRDefault="00B711F7" w:rsidP="00B711F7">
      <w:pPr>
        <w:pStyle w:val="Default"/>
        <w:ind w:left="720"/>
        <w:jc w:val="both"/>
        <w:rPr>
          <w:i/>
          <w:iCs/>
          <w:sz w:val="20"/>
          <w:szCs w:val="20"/>
          <w:highlight w:val="yellow"/>
          <w:lang w:val="en-US"/>
        </w:rPr>
      </w:pPr>
    </w:p>
    <w:p w14:paraId="04F31E5D" w14:textId="70053421" w:rsidR="00471EF0" w:rsidRDefault="0095771C" w:rsidP="006C0498">
      <w:pPr>
        <w:pStyle w:val="Default"/>
        <w:numPr>
          <w:ilvl w:val="1"/>
          <w:numId w:val="23"/>
        </w:numPr>
        <w:jc w:val="both"/>
        <w:rPr>
          <w:i/>
          <w:iCs/>
          <w:sz w:val="20"/>
          <w:szCs w:val="20"/>
          <w:lang w:val="en-US"/>
        </w:rPr>
      </w:pPr>
      <w:r w:rsidRPr="00AA254E">
        <w:rPr>
          <w:b/>
          <w:bCs/>
          <w:i/>
          <w:iCs/>
          <w:sz w:val="20"/>
          <w:szCs w:val="20"/>
          <w:lang w:val="en-US"/>
        </w:rPr>
        <w:t>About</w:t>
      </w:r>
      <w:r w:rsidR="00B711F7" w:rsidRPr="00AA254E">
        <w:rPr>
          <w:b/>
          <w:bCs/>
          <w:i/>
          <w:iCs/>
          <w:sz w:val="20"/>
          <w:szCs w:val="20"/>
          <w:lang w:val="en-US"/>
        </w:rPr>
        <w:t xml:space="preserve"> </w:t>
      </w:r>
      <w:r w:rsidR="00ED7B94" w:rsidRPr="00AA254E">
        <w:rPr>
          <w:b/>
          <w:bCs/>
          <w:i/>
          <w:iCs/>
          <w:sz w:val="20"/>
          <w:szCs w:val="20"/>
          <w:lang w:val="en-US"/>
        </w:rPr>
        <w:t>26</w:t>
      </w:r>
      <w:r w:rsidR="00B711F7" w:rsidRPr="00AA254E">
        <w:rPr>
          <w:b/>
          <w:bCs/>
          <w:i/>
          <w:iCs/>
          <w:sz w:val="20"/>
          <w:szCs w:val="20"/>
          <w:lang w:val="en-US"/>
        </w:rPr>
        <w:t xml:space="preserve"> billion euros in Grids</w:t>
      </w:r>
      <w:r w:rsidR="007747B6">
        <w:rPr>
          <w:b/>
          <w:bCs/>
          <w:i/>
          <w:iCs/>
          <w:sz w:val="20"/>
          <w:szCs w:val="20"/>
          <w:lang w:val="en-US"/>
        </w:rPr>
        <w:t xml:space="preserve"> </w:t>
      </w:r>
      <w:r w:rsidR="007747B6" w:rsidRPr="003561F0">
        <w:rPr>
          <w:i/>
          <w:iCs/>
          <w:sz w:val="20"/>
          <w:szCs w:val="20"/>
          <w:lang w:val="en-US"/>
        </w:rPr>
        <w:t xml:space="preserve">(+40% </w:t>
      </w:r>
      <w:r w:rsidR="00181E6B" w:rsidRPr="003561F0">
        <w:rPr>
          <w:i/>
          <w:iCs/>
          <w:sz w:val="20"/>
          <w:szCs w:val="20"/>
          <w:lang w:val="en-US"/>
        </w:rPr>
        <w:t>compared to the previous Plan)</w:t>
      </w:r>
      <w:r w:rsidR="00B711F7" w:rsidRPr="00181E6B">
        <w:rPr>
          <w:i/>
          <w:iCs/>
          <w:sz w:val="20"/>
          <w:szCs w:val="20"/>
          <w:lang w:val="en-US"/>
        </w:rPr>
        <w:t xml:space="preserve">, </w:t>
      </w:r>
      <w:r w:rsidR="00ED7B94" w:rsidRPr="00AA254E">
        <w:rPr>
          <w:i/>
          <w:iCs/>
          <w:sz w:val="20"/>
          <w:szCs w:val="20"/>
          <w:lang w:val="en-US"/>
        </w:rPr>
        <w:t>of which around 78% in Italy and Spain, countries characterized by regulatory frameworks</w:t>
      </w:r>
      <w:r w:rsidR="001765E9" w:rsidRPr="001765E9">
        <w:rPr>
          <w:i/>
          <w:iCs/>
          <w:sz w:val="20"/>
          <w:szCs w:val="20"/>
          <w:lang w:val="en-US"/>
        </w:rPr>
        <w:t xml:space="preserve"> </w:t>
      </w:r>
      <w:r w:rsidR="001765E9">
        <w:rPr>
          <w:i/>
          <w:iCs/>
          <w:sz w:val="20"/>
          <w:szCs w:val="20"/>
          <w:lang w:val="en-US"/>
        </w:rPr>
        <w:t xml:space="preserve">that </w:t>
      </w:r>
      <w:r w:rsidR="00425258">
        <w:rPr>
          <w:i/>
          <w:iCs/>
          <w:sz w:val="20"/>
          <w:szCs w:val="20"/>
          <w:lang w:val="en-US"/>
        </w:rPr>
        <w:t>can</w:t>
      </w:r>
      <w:r w:rsidR="00050593">
        <w:rPr>
          <w:i/>
          <w:iCs/>
          <w:sz w:val="20"/>
          <w:szCs w:val="20"/>
          <w:lang w:val="en-US"/>
        </w:rPr>
        <w:t xml:space="preserve"> support </w:t>
      </w:r>
      <w:r w:rsidR="001765E9">
        <w:rPr>
          <w:i/>
          <w:iCs/>
          <w:sz w:val="20"/>
          <w:szCs w:val="20"/>
          <w:lang w:val="en-US"/>
        </w:rPr>
        <w:t>investments</w:t>
      </w:r>
      <w:r w:rsidR="00ED7B94" w:rsidRPr="00AA254E">
        <w:rPr>
          <w:i/>
          <w:iCs/>
          <w:sz w:val="20"/>
          <w:szCs w:val="20"/>
          <w:lang w:val="en-US"/>
        </w:rPr>
        <w:t>, and</w:t>
      </w:r>
      <w:r w:rsidRPr="00AA254E">
        <w:rPr>
          <w:i/>
          <w:iCs/>
          <w:sz w:val="20"/>
          <w:szCs w:val="20"/>
          <w:lang w:val="en-US"/>
        </w:rPr>
        <w:t xml:space="preserve"> about</w:t>
      </w:r>
      <w:r w:rsidR="00ED7B94" w:rsidRPr="00AA254E">
        <w:rPr>
          <w:i/>
          <w:iCs/>
          <w:sz w:val="20"/>
          <w:szCs w:val="20"/>
          <w:lang w:val="en-US"/>
        </w:rPr>
        <w:t xml:space="preserve"> 22% in Latin America</w:t>
      </w:r>
    </w:p>
    <w:p w14:paraId="1D891034" w14:textId="36B5378C" w:rsidR="00B711F7" w:rsidRPr="00AA254E" w:rsidRDefault="00B711F7" w:rsidP="006C0498">
      <w:pPr>
        <w:pStyle w:val="Default"/>
        <w:numPr>
          <w:ilvl w:val="1"/>
          <w:numId w:val="23"/>
        </w:numPr>
        <w:jc w:val="both"/>
        <w:rPr>
          <w:i/>
          <w:iCs/>
          <w:sz w:val="20"/>
          <w:szCs w:val="20"/>
          <w:lang w:val="en-US"/>
        </w:rPr>
      </w:pPr>
      <w:r w:rsidRPr="00AA254E">
        <w:rPr>
          <w:b/>
          <w:bCs/>
          <w:i/>
          <w:iCs/>
          <w:sz w:val="20"/>
          <w:szCs w:val="20"/>
          <w:lang w:val="en-US"/>
        </w:rPr>
        <w:t>Approximately</w:t>
      </w:r>
      <w:r w:rsidRPr="00AA254E">
        <w:rPr>
          <w:i/>
          <w:iCs/>
          <w:sz w:val="20"/>
          <w:szCs w:val="20"/>
          <w:lang w:val="en-US"/>
        </w:rPr>
        <w:t xml:space="preserve"> </w:t>
      </w:r>
      <w:r w:rsidRPr="00AA254E">
        <w:rPr>
          <w:b/>
          <w:bCs/>
          <w:i/>
          <w:iCs/>
          <w:sz w:val="20"/>
          <w:szCs w:val="20"/>
          <w:lang w:val="en-US"/>
        </w:rPr>
        <w:t>1</w:t>
      </w:r>
      <w:r w:rsidR="00ED7B94" w:rsidRPr="00AA254E">
        <w:rPr>
          <w:b/>
          <w:bCs/>
          <w:i/>
          <w:iCs/>
          <w:sz w:val="20"/>
          <w:szCs w:val="20"/>
          <w:lang w:val="en-US"/>
        </w:rPr>
        <w:t>2</w:t>
      </w:r>
      <w:r w:rsidRPr="00AA254E">
        <w:rPr>
          <w:b/>
          <w:bCs/>
          <w:i/>
          <w:iCs/>
          <w:sz w:val="20"/>
          <w:szCs w:val="20"/>
          <w:lang w:val="en-US"/>
        </w:rPr>
        <w:t xml:space="preserve"> billion euros in Renewables</w:t>
      </w:r>
      <w:r w:rsidRPr="00AA254E">
        <w:rPr>
          <w:i/>
          <w:iCs/>
          <w:sz w:val="20"/>
          <w:szCs w:val="20"/>
          <w:lang w:val="en-US"/>
        </w:rPr>
        <w:t xml:space="preserve">, </w:t>
      </w:r>
      <w:r w:rsidR="00ED7B94" w:rsidRPr="00AA254E">
        <w:rPr>
          <w:i/>
          <w:iCs/>
          <w:sz w:val="20"/>
          <w:szCs w:val="20"/>
          <w:lang w:val="en-US"/>
        </w:rPr>
        <w:t>adding around 12 GW</w:t>
      </w:r>
      <w:r w:rsidR="002A1F15">
        <w:rPr>
          <w:i/>
          <w:iCs/>
          <w:sz w:val="20"/>
          <w:szCs w:val="20"/>
          <w:lang w:val="en-US"/>
        </w:rPr>
        <w:t xml:space="preserve"> of capacity</w:t>
      </w:r>
      <w:r w:rsidR="00ED7B94" w:rsidRPr="00AA254E">
        <w:rPr>
          <w:i/>
          <w:iCs/>
          <w:sz w:val="20"/>
          <w:szCs w:val="20"/>
          <w:lang w:val="en-US"/>
        </w:rPr>
        <w:t>,</w:t>
      </w:r>
      <w:r w:rsidR="00AA254E" w:rsidRPr="00AA254E">
        <w:rPr>
          <w:i/>
          <w:iCs/>
          <w:sz w:val="20"/>
          <w:szCs w:val="20"/>
          <w:lang w:val="en-US"/>
        </w:rPr>
        <w:t xml:space="preserve"> </w:t>
      </w:r>
      <w:r w:rsidR="001765E9">
        <w:rPr>
          <w:i/>
          <w:iCs/>
          <w:sz w:val="20"/>
          <w:szCs w:val="20"/>
          <w:lang w:val="en-US"/>
        </w:rPr>
        <w:t xml:space="preserve">with an improved technological mix that foresees </w:t>
      </w:r>
      <w:r w:rsidR="007D1C68">
        <w:rPr>
          <w:i/>
          <w:iCs/>
          <w:sz w:val="20"/>
          <w:szCs w:val="20"/>
          <w:lang w:val="en-US"/>
        </w:rPr>
        <w:t xml:space="preserve">over </w:t>
      </w:r>
      <w:r w:rsidR="00AA254E" w:rsidRPr="00AA254E">
        <w:rPr>
          <w:i/>
          <w:iCs/>
          <w:sz w:val="20"/>
          <w:szCs w:val="20"/>
          <w:lang w:val="en-US"/>
        </w:rPr>
        <w:t xml:space="preserve">70% </w:t>
      </w:r>
      <w:r w:rsidR="00912969">
        <w:rPr>
          <w:i/>
          <w:iCs/>
          <w:sz w:val="20"/>
          <w:szCs w:val="20"/>
          <w:lang w:val="en-US"/>
        </w:rPr>
        <w:t>of</w:t>
      </w:r>
      <w:r w:rsidR="00912969" w:rsidRPr="00AA254E">
        <w:rPr>
          <w:i/>
          <w:iCs/>
          <w:sz w:val="20"/>
          <w:szCs w:val="20"/>
          <w:lang w:val="en-US"/>
        </w:rPr>
        <w:t xml:space="preserve"> </w:t>
      </w:r>
      <w:r w:rsidR="00ED7B94" w:rsidRPr="00AA254E">
        <w:rPr>
          <w:i/>
          <w:iCs/>
          <w:sz w:val="20"/>
          <w:szCs w:val="20"/>
          <w:lang w:val="en-US"/>
        </w:rPr>
        <w:t xml:space="preserve">onshore wind and </w:t>
      </w:r>
      <w:r w:rsidR="00B017E1">
        <w:rPr>
          <w:i/>
          <w:iCs/>
          <w:sz w:val="20"/>
          <w:szCs w:val="20"/>
          <w:lang w:val="en-US"/>
        </w:rPr>
        <w:t>dispatchable technologies</w:t>
      </w:r>
      <w:r w:rsidR="00B3342B">
        <w:rPr>
          <w:i/>
          <w:iCs/>
          <w:sz w:val="20"/>
          <w:szCs w:val="20"/>
          <w:lang w:val="en-US"/>
        </w:rPr>
        <w:t xml:space="preserve"> (hydro and batteries)</w:t>
      </w:r>
      <w:r w:rsidR="00711C71" w:rsidRPr="00AA254E">
        <w:rPr>
          <w:i/>
          <w:iCs/>
          <w:sz w:val="20"/>
          <w:szCs w:val="20"/>
          <w:lang w:val="en-US"/>
        </w:rPr>
        <w:t xml:space="preserve">, </w:t>
      </w:r>
      <w:r w:rsidR="00B017E1">
        <w:rPr>
          <w:i/>
          <w:iCs/>
          <w:sz w:val="20"/>
          <w:szCs w:val="20"/>
          <w:lang w:val="en-US"/>
        </w:rPr>
        <w:t>up to</w:t>
      </w:r>
      <w:r w:rsidR="00711C71" w:rsidRPr="00AA254E">
        <w:rPr>
          <w:i/>
          <w:iCs/>
          <w:sz w:val="20"/>
          <w:szCs w:val="20"/>
          <w:lang w:val="en-US"/>
        </w:rPr>
        <w:t xml:space="preserve"> an overall capacity of </w:t>
      </w:r>
      <w:r w:rsidR="0095771C" w:rsidRPr="00AA254E">
        <w:rPr>
          <w:i/>
          <w:iCs/>
          <w:sz w:val="20"/>
          <w:szCs w:val="20"/>
          <w:lang w:val="en-US"/>
        </w:rPr>
        <w:t>about</w:t>
      </w:r>
      <w:r w:rsidR="00711C71" w:rsidRPr="00AA254E">
        <w:rPr>
          <w:i/>
          <w:iCs/>
          <w:sz w:val="20"/>
          <w:szCs w:val="20"/>
          <w:lang w:val="en-US"/>
        </w:rPr>
        <w:t xml:space="preserve"> 76 GW </w:t>
      </w:r>
      <w:r w:rsidR="00DE010E">
        <w:rPr>
          <w:i/>
          <w:iCs/>
          <w:sz w:val="20"/>
          <w:szCs w:val="20"/>
          <w:lang w:val="en-US"/>
        </w:rPr>
        <w:t>and a</w:t>
      </w:r>
      <w:r w:rsidR="0074375C">
        <w:rPr>
          <w:i/>
          <w:iCs/>
          <w:sz w:val="20"/>
          <w:szCs w:val="20"/>
          <w:lang w:val="en-US"/>
        </w:rPr>
        <w:t>n</w:t>
      </w:r>
      <w:r w:rsidR="00DE010E">
        <w:rPr>
          <w:i/>
          <w:iCs/>
          <w:sz w:val="20"/>
          <w:szCs w:val="20"/>
          <w:lang w:val="en-US"/>
        </w:rPr>
        <w:t xml:space="preserve"> </w:t>
      </w:r>
      <w:r w:rsidR="0074375C">
        <w:rPr>
          <w:i/>
          <w:iCs/>
          <w:sz w:val="20"/>
          <w:szCs w:val="20"/>
          <w:lang w:val="en-US"/>
        </w:rPr>
        <w:t xml:space="preserve">increase of </w:t>
      </w:r>
      <w:r w:rsidR="00CE4F67">
        <w:rPr>
          <w:i/>
          <w:iCs/>
          <w:sz w:val="20"/>
          <w:szCs w:val="20"/>
          <w:lang w:val="en-US"/>
        </w:rPr>
        <w:t xml:space="preserve">over </w:t>
      </w:r>
      <w:r w:rsidR="00DE010E">
        <w:rPr>
          <w:i/>
          <w:iCs/>
          <w:sz w:val="20"/>
          <w:szCs w:val="20"/>
          <w:lang w:val="en-US"/>
        </w:rPr>
        <w:t>1</w:t>
      </w:r>
      <w:r w:rsidR="00CE4F67">
        <w:rPr>
          <w:i/>
          <w:iCs/>
          <w:sz w:val="20"/>
          <w:szCs w:val="20"/>
          <w:lang w:val="en-US"/>
        </w:rPr>
        <w:t>5</w:t>
      </w:r>
      <w:r w:rsidR="00DE010E">
        <w:rPr>
          <w:i/>
          <w:iCs/>
          <w:sz w:val="20"/>
          <w:szCs w:val="20"/>
          <w:lang w:val="en-US"/>
        </w:rPr>
        <w:t>%</w:t>
      </w:r>
      <w:r w:rsidR="008C13AD">
        <w:rPr>
          <w:i/>
          <w:iCs/>
          <w:sz w:val="20"/>
          <w:szCs w:val="20"/>
          <w:lang w:val="en-US"/>
        </w:rPr>
        <w:t xml:space="preserve"> </w:t>
      </w:r>
      <w:r w:rsidR="00DE010E">
        <w:rPr>
          <w:i/>
          <w:iCs/>
          <w:sz w:val="20"/>
          <w:szCs w:val="20"/>
          <w:lang w:val="en-US"/>
        </w:rPr>
        <w:t xml:space="preserve">in production </w:t>
      </w:r>
      <w:r w:rsidR="00A37B60">
        <w:rPr>
          <w:i/>
          <w:iCs/>
          <w:sz w:val="20"/>
          <w:szCs w:val="20"/>
          <w:lang w:val="en-US"/>
        </w:rPr>
        <w:t>in</w:t>
      </w:r>
      <w:r w:rsidR="001D4477" w:rsidRPr="00AA254E">
        <w:rPr>
          <w:i/>
          <w:iCs/>
          <w:sz w:val="20"/>
          <w:szCs w:val="20"/>
          <w:lang w:val="en-US"/>
        </w:rPr>
        <w:t xml:space="preserve"> 2027</w:t>
      </w:r>
    </w:p>
    <w:p w14:paraId="2E3F49B9" w14:textId="6120D17F" w:rsidR="00B711F7" w:rsidRPr="00ED7B94" w:rsidRDefault="0095771C" w:rsidP="00B711F7">
      <w:pPr>
        <w:pStyle w:val="Default"/>
        <w:numPr>
          <w:ilvl w:val="1"/>
          <w:numId w:val="23"/>
        </w:numPr>
        <w:jc w:val="both"/>
        <w:rPr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>Around</w:t>
      </w:r>
      <w:r w:rsidR="00B711F7" w:rsidRPr="00ED7B94">
        <w:rPr>
          <w:b/>
          <w:bCs/>
          <w:i/>
          <w:iCs/>
          <w:sz w:val="20"/>
          <w:szCs w:val="20"/>
          <w:lang w:val="en-US"/>
        </w:rPr>
        <w:t xml:space="preserve"> </w:t>
      </w:r>
      <w:r w:rsidR="00711C71">
        <w:rPr>
          <w:b/>
          <w:bCs/>
          <w:i/>
          <w:iCs/>
          <w:sz w:val="20"/>
          <w:szCs w:val="20"/>
          <w:lang w:val="en-US"/>
        </w:rPr>
        <w:t>2.7</w:t>
      </w:r>
      <w:r w:rsidR="00B711F7" w:rsidRPr="00ED7B94">
        <w:rPr>
          <w:b/>
          <w:bCs/>
          <w:i/>
          <w:iCs/>
          <w:sz w:val="20"/>
          <w:szCs w:val="20"/>
          <w:lang w:val="en-US"/>
        </w:rPr>
        <w:t xml:space="preserve"> billion euros in Customers</w:t>
      </w:r>
      <w:r w:rsidR="00B711F7" w:rsidRPr="00ED7B94">
        <w:rPr>
          <w:i/>
          <w:iCs/>
          <w:sz w:val="20"/>
          <w:szCs w:val="20"/>
          <w:lang w:val="en-US"/>
        </w:rPr>
        <w:t>,</w:t>
      </w:r>
      <w:r w:rsidR="00711C71">
        <w:rPr>
          <w:i/>
          <w:iCs/>
          <w:sz w:val="20"/>
          <w:szCs w:val="20"/>
          <w:lang w:val="en-US"/>
        </w:rPr>
        <w:t xml:space="preserve"> of which</w:t>
      </w:r>
      <w:r>
        <w:rPr>
          <w:i/>
          <w:iCs/>
          <w:sz w:val="20"/>
          <w:szCs w:val="20"/>
          <w:lang w:val="en-US"/>
        </w:rPr>
        <w:t xml:space="preserve"> approximately</w:t>
      </w:r>
      <w:r w:rsidR="00711C71">
        <w:rPr>
          <w:i/>
          <w:iCs/>
          <w:sz w:val="20"/>
          <w:szCs w:val="20"/>
          <w:lang w:val="en-US"/>
        </w:rPr>
        <w:t xml:space="preserve"> 85% in countries where the Group has an integrated presence, </w:t>
      </w:r>
      <w:r w:rsidR="00EE2645">
        <w:rPr>
          <w:i/>
          <w:iCs/>
          <w:sz w:val="20"/>
          <w:szCs w:val="20"/>
          <w:lang w:val="en-US"/>
        </w:rPr>
        <w:t xml:space="preserve">offering </w:t>
      </w:r>
      <w:r w:rsidR="00912969">
        <w:rPr>
          <w:i/>
          <w:iCs/>
          <w:sz w:val="20"/>
          <w:szCs w:val="20"/>
          <w:lang w:val="en-US"/>
        </w:rPr>
        <w:t xml:space="preserve">a portfolio of </w:t>
      </w:r>
      <w:r w:rsidR="00EE2645">
        <w:rPr>
          <w:i/>
          <w:iCs/>
          <w:sz w:val="20"/>
          <w:szCs w:val="20"/>
          <w:lang w:val="en-US"/>
        </w:rPr>
        <w:t xml:space="preserve">bundled solutions </w:t>
      </w:r>
      <w:r w:rsidR="00912969">
        <w:rPr>
          <w:i/>
          <w:iCs/>
          <w:sz w:val="20"/>
          <w:szCs w:val="20"/>
          <w:lang w:val="en-US"/>
        </w:rPr>
        <w:t>with</w:t>
      </w:r>
      <w:r w:rsidR="00EE2645">
        <w:rPr>
          <w:i/>
          <w:iCs/>
          <w:sz w:val="20"/>
          <w:szCs w:val="20"/>
          <w:lang w:val="en-US"/>
        </w:rPr>
        <w:t xml:space="preserve"> energy, </w:t>
      </w:r>
      <w:r w:rsidR="00711C71">
        <w:rPr>
          <w:i/>
          <w:iCs/>
          <w:sz w:val="20"/>
          <w:szCs w:val="20"/>
          <w:lang w:val="en-US"/>
        </w:rPr>
        <w:t>products and services</w:t>
      </w:r>
    </w:p>
    <w:p w14:paraId="05FB9143" w14:textId="77777777" w:rsidR="00992657" w:rsidRDefault="00992657" w:rsidP="00B711F7">
      <w:pPr>
        <w:pStyle w:val="Default"/>
        <w:ind w:left="709"/>
        <w:jc w:val="both"/>
        <w:rPr>
          <w:i/>
          <w:iCs/>
          <w:sz w:val="20"/>
          <w:szCs w:val="20"/>
          <w:lang w:val="en-US"/>
        </w:rPr>
      </w:pPr>
    </w:p>
    <w:p w14:paraId="58A2FB06" w14:textId="4B29FABA" w:rsidR="00992657" w:rsidRDefault="00992657" w:rsidP="00B711F7">
      <w:pPr>
        <w:pStyle w:val="Default"/>
        <w:numPr>
          <w:ilvl w:val="0"/>
          <w:numId w:val="32"/>
        </w:numPr>
        <w:ind w:left="720"/>
        <w:jc w:val="both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T</w:t>
      </w:r>
      <w:r w:rsidR="00B711F7" w:rsidRPr="00992657">
        <w:rPr>
          <w:i/>
          <w:iCs/>
          <w:sz w:val="20"/>
          <w:szCs w:val="20"/>
          <w:lang w:val="en-US"/>
        </w:rPr>
        <w:t>he Group plans to</w:t>
      </w:r>
      <w:r w:rsidR="009D4E92">
        <w:rPr>
          <w:i/>
          <w:iCs/>
          <w:sz w:val="20"/>
          <w:szCs w:val="20"/>
          <w:lang w:val="en-US"/>
        </w:rPr>
        <w:t xml:space="preserve"> allocate </w:t>
      </w:r>
      <w:r w:rsidR="00B711F7" w:rsidRPr="00992657">
        <w:rPr>
          <w:i/>
          <w:iCs/>
          <w:sz w:val="20"/>
          <w:szCs w:val="20"/>
          <w:lang w:val="en-US"/>
        </w:rPr>
        <w:t>investments</w:t>
      </w:r>
      <w:r w:rsidR="009D4E92">
        <w:rPr>
          <w:i/>
          <w:iCs/>
          <w:sz w:val="20"/>
          <w:szCs w:val="20"/>
          <w:lang w:val="en-US"/>
        </w:rPr>
        <w:t xml:space="preserve"> </w:t>
      </w:r>
      <w:r w:rsidR="009D4E92" w:rsidRPr="00965044">
        <w:rPr>
          <w:b/>
          <w:bCs/>
          <w:i/>
          <w:iCs/>
          <w:sz w:val="20"/>
          <w:szCs w:val="20"/>
          <w:lang w:val="en-US"/>
        </w:rPr>
        <w:t>proportionally</w:t>
      </w:r>
      <w:r w:rsidR="002464B6" w:rsidRPr="008473F4">
        <w:rPr>
          <w:i/>
          <w:iCs/>
          <w:sz w:val="20"/>
          <w:szCs w:val="20"/>
          <w:lang w:val="en-US"/>
        </w:rPr>
        <w:t xml:space="preserve"> </w:t>
      </w:r>
      <w:r w:rsidR="00FC644E">
        <w:rPr>
          <w:i/>
          <w:iCs/>
          <w:sz w:val="20"/>
          <w:szCs w:val="20"/>
          <w:lang w:val="en-US"/>
        </w:rPr>
        <w:t>across</w:t>
      </w:r>
      <w:r w:rsidR="00FC644E" w:rsidRPr="008473F4">
        <w:rPr>
          <w:i/>
          <w:iCs/>
          <w:sz w:val="20"/>
          <w:szCs w:val="20"/>
          <w:lang w:val="en-US"/>
        </w:rPr>
        <w:t xml:space="preserve"> </w:t>
      </w:r>
      <w:r w:rsidR="002464B6" w:rsidRPr="008473F4">
        <w:rPr>
          <w:i/>
          <w:iCs/>
          <w:sz w:val="20"/>
          <w:szCs w:val="20"/>
          <w:lang w:val="en-US"/>
        </w:rPr>
        <w:t>its main geographies</w:t>
      </w:r>
      <w:r w:rsidR="0012410A" w:rsidRPr="002464B6">
        <w:rPr>
          <w:i/>
          <w:iCs/>
          <w:sz w:val="20"/>
          <w:szCs w:val="20"/>
          <w:lang w:val="en-US"/>
        </w:rPr>
        <w:t>,</w:t>
      </w:r>
      <w:r w:rsidR="009D4E92" w:rsidRPr="002464B6">
        <w:rPr>
          <w:i/>
          <w:iCs/>
          <w:sz w:val="20"/>
          <w:szCs w:val="20"/>
          <w:lang w:val="en-US"/>
        </w:rPr>
        <w:t xml:space="preserve"> based </w:t>
      </w:r>
      <w:r w:rsidR="009D4E92">
        <w:rPr>
          <w:i/>
          <w:iCs/>
          <w:sz w:val="20"/>
          <w:szCs w:val="20"/>
          <w:lang w:val="en-US"/>
        </w:rPr>
        <w:t xml:space="preserve">on </w:t>
      </w:r>
      <w:r w:rsidR="003B1525">
        <w:rPr>
          <w:i/>
          <w:iCs/>
          <w:sz w:val="20"/>
          <w:szCs w:val="20"/>
          <w:lang w:val="en-US"/>
        </w:rPr>
        <w:t xml:space="preserve">their </w:t>
      </w:r>
      <w:r>
        <w:rPr>
          <w:i/>
          <w:iCs/>
          <w:sz w:val="20"/>
          <w:szCs w:val="20"/>
          <w:lang w:val="en-US"/>
        </w:rPr>
        <w:t>contribution</w:t>
      </w:r>
      <w:r w:rsidR="009D4E92">
        <w:rPr>
          <w:i/>
          <w:iCs/>
          <w:sz w:val="20"/>
          <w:szCs w:val="20"/>
          <w:lang w:val="en-US"/>
        </w:rPr>
        <w:t>s</w:t>
      </w:r>
      <w:r>
        <w:rPr>
          <w:i/>
          <w:iCs/>
          <w:sz w:val="20"/>
          <w:szCs w:val="20"/>
          <w:lang w:val="en-US"/>
        </w:rPr>
        <w:t xml:space="preserve"> to EBITDA</w:t>
      </w:r>
      <w:r w:rsidR="009D4E92">
        <w:rPr>
          <w:i/>
          <w:iCs/>
          <w:sz w:val="20"/>
          <w:szCs w:val="20"/>
          <w:lang w:val="en-US"/>
        </w:rPr>
        <w:t xml:space="preserve">, with around </w:t>
      </w:r>
      <w:r w:rsidR="009D4E92" w:rsidRPr="003474B3">
        <w:rPr>
          <w:b/>
          <w:bCs/>
          <w:i/>
          <w:iCs/>
          <w:sz w:val="20"/>
          <w:szCs w:val="20"/>
          <w:lang w:val="en-US"/>
        </w:rPr>
        <w:t>75%</w:t>
      </w:r>
      <w:r w:rsidR="009D4E92">
        <w:rPr>
          <w:i/>
          <w:iCs/>
          <w:sz w:val="20"/>
          <w:szCs w:val="20"/>
          <w:lang w:val="en-US"/>
        </w:rPr>
        <w:t xml:space="preserve"> </w:t>
      </w:r>
      <w:r w:rsidR="009D4E92" w:rsidRPr="003474B3">
        <w:rPr>
          <w:b/>
          <w:bCs/>
          <w:i/>
          <w:iCs/>
          <w:sz w:val="20"/>
          <w:szCs w:val="20"/>
          <w:lang w:val="en-US"/>
        </w:rPr>
        <w:t>in</w:t>
      </w:r>
      <w:r w:rsidR="009D4E92">
        <w:rPr>
          <w:i/>
          <w:iCs/>
          <w:sz w:val="20"/>
          <w:szCs w:val="20"/>
          <w:lang w:val="en-US"/>
        </w:rPr>
        <w:t xml:space="preserve"> </w:t>
      </w:r>
      <w:r w:rsidR="009D4E92" w:rsidRPr="009D4E92">
        <w:rPr>
          <w:b/>
          <w:bCs/>
          <w:i/>
          <w:iCs/>
          <w:sz w:val="20"/>
          <w:szCs w:val="20"/>
          <w:lang w:val="en-US"/>
        </w:rPr>
        <w:t>Europe</w:t>
      </w:r>
      <w:r w:rsidR="009D4E92">
        <w:rPr>
          <w:i/>
          <w:iCs/>
          <w:sz w:val="20"/>
          <w:szCs w:val="20"/>
          <w:lang w:val="en-US"/>
        </w:rPr>
        <w:t xml:space="preserve"> </w:t>
      </w:r>
      <w:r w:rsidR="00B47540">
        <w:rPr>
          <w:i/>
          <w:iCs/>
          <w:sz w:val="20"/>
          <w:szCs w:val="20"/>
          <w:lang w:val="en-US"/>
        </w:rPr>
        <w:t xml:space="preserve">as well as </w:t>
      </w:r>
      <w:r w:rsidR="009D4E92">
        <w:rPr>
          <w:i/>
          <w:iCs/>
          <w:sz w:val="20"/>
          <w:szCs w:val="20"/>
          <w:lang w:val="en-US"/>
        </w:rPr>
        <w:t xml:space="preserve">about </w:t>
      </w:r>
      <w:r w:rsidR="00474AA3" w:rsidRPr="00124644">
        <w:rPr>
          <w:b/>
          <w:bCs/>
          <w:i/>
          <w:iCs/>
          <w:sz w:val="20"/>
          <w:szCs w:val="20"/>
          <w:lang w:val="en-US"/>
        </w:rPr>
        <w:t>25</w:t>
      </w:r>
      <w:r w:rsidR="009D4E92" w:rsidRPr="003474B3">
        <w:rPr>
          <w:b/>
          <w:bCs/>
          <w:i/>
          <w:iCs/>
          <w:sz w:val="20"/>
          <w:szCs w:val="20"/>
          <w:lang w:val="en-US"/>
        </w:rPr>
        <w:t>% in</w:t>
      </w:r>
      <w:r w:rsidR="009D4E92">
        <w:rPr>
          <w:i/>
          <w:iCs/>
          <w:sz w:val="20"/>
          <w:szCs w:val="20"/>
          <w:lang w:val="en-US"/>
        </w:rPr>
        <w:t xml:space="preserve"> </w:t>
      </w:r>
      <w:r w:rsidR="009D4E92" w:rsidRPr="009D4E92">
        <w:rPr>
          <w:b/>
          <w:bCs/>
          <w:i/>
          <w:iCs/>
          <w:sz w:val="20"/>
          <w:szCs w:val="20"/>
          <w:lang w:val="en-US"/>
        </w:rPr>
        <w:t>Latin</w:t>
      </w:r>
      <w:r w:rsidR="009D4E92">
        <w:rPr>
          <w:i/>
          <w:iCs/>
          <w:sz w:val="20"/>
          <w:szCs w:val="20"/>
          <w:lang w:val="en-US"/>
        </w:rPr>
        <w:t xml:space="preserve"> and </w:t>
      </w:r>
      <w:r w:rsidR="009D4E92" w:rsidRPr="009D4E92">
        <w:rPr>
          <w:b/>
          <w:bCs/>
          <w:i/>
          <w:iCs/>
          <w:sz w:val="20"/>
          <w:szCs w:val="20"/>
          <w:lang w:val="en-US"/>
        </w:rPr>
        <w:t>North America</w:t>
      </w:r>
    </w:p>
    <w:p w14:paraId="65A1C6DD" w14:textId="77777777" w:rsidR="00B711F7" w:rsidRPr="00E358DB" w:rsidRDefault="00B711F7" w:rsidP="00B711F7">
      <w:pPr>
        <w:pStyle w:val="Default"/>
        <w:ind w:left="360"/>
        <w:jc w:val="both"/>
        <w:rPr>
          <w:i/>
          <w:iCs/>
          <w:sz w:val="20"/>
          <w:szCs w:val="20"/>
          <w:lang w:val="en-US"/>
        </w:rPr>
      </w:pPr>
    </w:p>
    <w:p w14:paraId="333E0EDB" w14:textId="77777777" w:rsidR="00635ACC" w:rsidRDefault="00B711F7" w:rsidP="00635ACC">
      <w:pPr>
        <w:numPr>
          <w:ilvl w:val="0"/>
          <w:numId w:val="32"/>
        </w:numPr>
        <w:autoSpaceDE w:val="0"/>
        <w:autoSpaceDN w:val="0"/>
        <w:adjustRightInd w:val="0"/>
        <w:snapToGrid w:val="0"/>
        <w:ind w:left="72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</w:pPr>
      <w:r w:rsidRPr="00E358DB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 xml:space="preserve">In </w:t>
      </w:r>
      <w:r w:rsidRPr="0012464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202</w:t>
      </w:r>
      <w:r w:rsidR="00992657" w:rsidRPr="0012464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7</w:t>
      </w:r>
      <w:r w:rsidRPr="00E358DB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 xml:space="preserve">, </w:t>
      </w:r>
      <w:r w:rsidRPr="00E358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Group Ordinary EBITDA </w:t>
      </w:r>
      <w:r w:rsidR="00827E68" w:rsidRPr="00124644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 xml:space="preserve">is </w:t>
      </w:r>
      <w:r w:rsidRPr="00124644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 xml:space="preserve">expected </w:t>
      </w:r>
      <w:r w:rsidRPr="00E358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to grow to between </w:t>
      </w:r>
      <w:r w:rsidR="00992657" w:rsidRPr="00E358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24.1</w:t>
      </w:r>
      <w:r w:rsidRPr="00E358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and 24</w:t>
      </w:r>
      <w:r w:rsidR="00992657" w:rsidRPr="00E358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.5</w:t>
      </w:r>
      <w:r w:rsidRPr="00E358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billion euros </w:t>
      </w:r>
      <w:r w:rsidRPr="00E358DB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 xml:space="preserve">and </w:t>
      </w:r>
      <w:r w:rsidRPr="00E358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Group Net Ordinary Income </w:t>
      </w:r>
      <w:r w:rsidR="00827E68" w:rsidRPr="00124644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 xml:space="preserve">is </w:t>
      </w:r>
      <w:r w:rsidRPr="00124644"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  <w:t>expected</w:t>
      </w:r>
      <w:r w:rsidRPr="00E358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to increase to between 7.</w:t>
      </w:r>
      <w:r w:rsidR="003F236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1</w:t>
      </w:r>
      <w:r w:rsidRPr="00E358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and 7.</w:t>
      </w:r>
      <w:r w:rsidR="00992657" w:rsidRPr="00E358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>5</w:t>
      </w:r>
      <w:r w:rsidRPr="00E358D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billion euros</w:t>
      </w:r>
    </w:p>
    <w:p w14:paraId="6ECCB4A8" w14:textId="77777777" w:rsidR="00635ACC" w:rsidRPr="00635ACC" w:rsidRDefault="00635ACC" w:rsidP="00635ACC">
      <w:pPr>
        <w:pStyle w:val="Prrafodelista"/>
        <w:rPr>
          <w:rFonts w:ascii="Arial" w:eastAsia="Times New Roman" w:hAnsi="Arial" w:cs="Arial"/>
          <w:bCs/>
          <w:i/>
          <w:iCs/>
          <w:color w:val="000000"/>
          <w:szCs w:val="20"/>
          <w:lang w:val="en-US"/>
        </w:rPr>
      </w:pPr>
    </w:p>
    <w:p w14:paraId="418C8DF1" w14:textId="77777777" w:rsidR="00635ACC" w:rsidRPr="00635ACC" w:rsidRDefault="00B47540" w:rsidP="00635ACC">
      <w:pPr>
        <w:numPr>
          <w:ilvl w:val="0"/>
          <w:numId w:val="32"/>
        </w:numPr>
        <w:autoSpaceDE w:val="0"/>
        <w:autoSpaceDN w:val="0"/>
        <w:adjustRightInd w:val="0"/>
        <w:snapToGrid w:val="0"/>
        <w:ind w:left="72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</w:pPr>
      <w:r w:rsidRPr="00635AC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/>
        </w:rPr>
        <w:t xml:space="preserve">The visibility on Group </w:t>
      </w:r>
      <w:r w:rsidRPr="00635ACC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en-US"/>
        </w:rPr>
        <w:t>2024</w:t>
      </w:r>
      <w:r w:rsidRPr="00635AC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/>
        </w:rPr>
        <w:t xml:space="preserve"> financial results allows for the proposal at Enel’s next Shareholders’ Meeting of an overall dividend payout of</w:t>
      </w:r>
      <w:r w:rsidRPr="00635ACC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en-US"/>
        </w:rPr>
        <w:t xml:space="preserve"> 0.46 euros per share</w:t>
      </w:r>
      <w:r w:rsidRPr="00635AC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en-US"/>
        </w:rPr>
        <w:t>, above the fixed minimum dividend per share (“DPS”) of 0.43 euros set in the previous Plan</w:t>
      </w:r>
    </w:p>
    <w:p w14:paraId="482E2659" w14:textId="77777777" w:rsidR="00635ACC" w:rsidRPr="00635ACC" w:rsidRDefault="00635ACC" w:rsidP="00635ACC">
      <w:pPr>
        <w:pStyle w:val="Prrafodelista"/>
        <w:rPr>
          <w:rFonts w:ascii="Arial" w:eastAsia="Times New Roman" w:hAnsi="Arial" w:cs="Arial"/>
          <w:b/>
          <w:i/>
          <w:iCs/>
          <w:color w:val="000000"/>
          <w:szCs w:val="20"/>
          <w:lang w:val="en-US"/>
        </w:rPr>
      </w:pPr>
    </w:p>
    <w:p w14:paraId="7CA0180F" w14:textId="3D2ACDEB" w:rsidR="00F85B80" w:rsidRPr="00635ACC" w:rsidRDefault="00B47540" w:rsidP="00635ACC">
      <w:pPr>
        <w:numPr>
          <w:ilvl w:val="0"/>
          <w:numId w:val="32"/>
        </w:numPr>
        <w:autoSpaceDE w:val="0"/>
        <w:autoSpaceDN w:val="0"/>
        <w:adjustRightInd w:val="0"/>
        <w:snapToGrid w:val="0"/>
        <w:ind w:left="72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</w:pPr>
      <w:r w:rsidRPr="00635ACC">
        <w:rPr>
          <w:rFonts w:ascii="Arial" w:eastAsia="Times New Roman" w:hAnsi="Arial" w:cs="Arial"/>
          <w:b/>
          <w:i/>
          <w:iCs/>
          <w:color w:val="000000"/>
          <w:kern w:val="2"/>
          <w:sz w:val="20"/>
          <w:szCs w:val="20"/>
          <w:lang w:val="en-US" w:eastAsia="zh-CN" w:bidi="hi-IN"/>
        </w:rPr>
        <w:t>Throughout the 2025-2027 period</w:t>
      </w:r>
      <w:r w:rsidRPr="00635ACC">
        <w:rPr>
          <w:rFonts w:ascii="Arial" w:eastAsia="Times New Roman" w:hAnsi="Arial" w:cs="Arial"/>
          <w:bCs/>
          <w:i/>
          <w:iCs/>
          <w:color w:val="000000"/>
          <w:kern w:val="2"/>
          <w:sz w:val="20"/>
          <w:szCs w:val="20"/>
          <w:lang w:val="en-US" w:eastAsia="zh-CN" w:bidi="hi-IN"/>
        </w:rPr>
        <w:t>, the implementation of the strategic actions is expected to result in visible and highly predictable returns; on this basis</w:t>
      </w:r>
      <w:r w:rsidR="001F03DC">
        <w:rPr>
          <w:rFonts w:ascii="Arial" w:eastAsia="Times New Roman" w:hAnsi="Arial" w:cs="Arial"/>
          <w:bCs/>
          <w:i/>
          <w:iCs/>
          <w:color w:val="000000"/>
          <w:kern w:val="2"/>
          <w:sz w:val="20"/>
          <w:szCs w:val="20"/>
          <w:lang w:val="en-US" w:eastAsia="zh-CN" w:bidi="hi-IN"/>
        </w:rPr>
        <w:t>,</w:t>
      </w:r>
      <w:r w:rsidRPr="00635ACC">
        <w:rPr>
          <w:rFonts w:ascii="Arial" w:eastAsia="Times New Roman" w:hAnsi="Arial" w:cs="Arial"/>
          <w:bCs/>
          <w:i/>
          <w:iCs/>
          <w:color w:val="000000"/>
          <w:kern w:val="2"/>
          <w:sz w:val="20"/>
          <w:szCs w:val="20"/>
          <w:lang w:val="en-US" w:eastAsia="zh-CN" w:bidi="hi-IN"/>
        </w:rPr>
        <w:t xml:space="preserve"> </w:t>
      </w:r>
      <w:r w:rsidRPr="00635ACC">
        <w:rPr>
          <w:rFonts w:ascii="Arial" w:eastAsia="Times New Roman" w:hAnsi="Arial" w:cs="Arial"/>
          <w:b/>
          <w:i/>
          <w:iCs/>
          <w:color w:val="000000"/>
          <w:kern w:val="2"/>
          <w:sz w:val="20"/>
          <w:szCs w:val="20"/>
          <w:lang w:val="en-US" w:eastAsia="zh-CN" w:bidi="hi-IN"/>
        </w:rPr>
        <w:t xml:space="preserve">the dividend policy was revised upwards </w:t>
      </w:r>
      <w:r w:rsidRPr="00635ACC">
        <w:rPr>
          <w:rFonts w:ascii="Arial" w:eastAsia="Times New Roman" w:hAnsi="Arial" w:cs="Arial"/>
          <w:bCs/>
          <w:i/>
          <w:iCs/>
          <w:color w:val="000000"/>
          <w:kern w:val="2"/>
          <w:sz w:val="20"/>
          <w:szCs w:val="20"/>
          <w:lang w:val="en-US" w:eastAsia="zh-CN" w:bidi="hi-IN"/>
        </w:rPr>
        <w:t xml:space="preserve">with </w:t>
      </w:r>
      <w:r w:rsidRPr="00635ACC">
        <w:rPr>
          <w:rFonts w:ascii="Arial" w:eastAsia="Times New Roman" w:hAnsi="Arial" w:cs="Arial"/>
          <w:b/>
          <w:i/>
          <w:iCs/>
          <w:color w:val="000000"/>
          <w:kern w:val="2"/>
          <w:sz w:val="20"/>
          <w:szCs w:val="20"/>
          <w:lang w:val="en-US" w:eastAsia="zh-CN" w:bidi="hi-IN"/>
        </w:rPr>
        <w:t>a new fixed minimum annual DPS of 0.46 euros and a potential further upside corresponding to up to a 70% payout on Group Net Ordinary Income</w:t>
      </w:r>
      <w:r w:rsidRPr="00635ACC">
        <w:rPr>
          <w:rFonts w:ascii="Arial" w:eastAsia="Times New Roman" w:hAnsi="Arial" w:cs="Arial"/>
          <w:bCs/>
          <w:color w:val="000000"/>
          <w:szCs w:val="20"/>
          <w:lang w:val="en-US"/>
        </w:rPr>
        <w:tab/>
      </w:r>
      <w:r w:rsidR="00F85B80" w:rsidRPr="00635ACC">
        <w:rPr>
          <w:lang w:val="en-US"/>
        </w:rPr>
        <w:tab/>
      </w:r>
    </w:p>
    <w:p w14:paraId="441D5C4A" w14:textId="77777777" w:rsidR="00B711F7" w:rsidRDefault="00B711F7" w:rsidP="00B711F7">
      <w:pPr>
        <w:jc w:val="both"/>
        <w:rPr>
          <w:rFonts w:ascii="Arial" w:eastAsia="Calibri" w:hAnsi="Arial" w:cs="Arial"/>
          <w:i/>
          <w:iCs/>
          <w:sz w:val="20"/>
          <w:szCs w:val="20"/>
          <w:lang w:val="en-US" w:eastAsia="en-US"/>
        </w:rPr>
      </w:pPr>
    </w:p>
    <w:p w14:paraId="356A64D1" w14:textId="77777777" w:rsidR="00B711F7" w:rsidRDefault="00B711F7" w:rsidP="00B711F7">
      <w:pPr>
        <w:jc w:val="both"/>
        <w:rPr>
          <w:rFonts w:ascii="Arial" w:eastAsia="Calibri" w:hAnsi="Arial" w:cs="Arial"/>
          <w:i/>
          <w:iCs/>
          <w:sz w:val="20"/>
          <w:szCs w:val="20"/>
          <w:lang w:val="en-US" w:eastAsia="en-US"/>
        </w:rPr>
      </w:pPr>
    </w:p>
    <w:tbl>
      <w:tblPr>
        <w:tblW w:w="7203" w:type="dxa"/>
        <w:jc w:val="center"/>
        <w:tblCellMar>
          <w:top w:w="2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68"/>
        <w:gridCol w:w="1373"/>
        <w:gridCol w:w="1531"/>
        <w:gridCol w:w="1531"/>
      </w:tblGrid>
      <w:tr w:rsidR="00B711F7" w:rsidRPr="00476279" w14:paraId="76CDE23E" w14:textId="77777777" w:rsidTr="00176553">
        <w:trPr>
          <w:trHeight w:val="422"/>
          <w:jc w:val="center"/>
        </w:trPr>
        <w:tc>
          <w:tcPr>
            <w:tcW w:w="2768" w:type="dxa"/>
            <w:tcBorders>
              <w:top w:val="single" w:sz="4" w:space="0" w:color="41B9E6"/>
              <w:left w:val="single" w:sz="4" w:space="0" w:color="41B9E6"/>
              <w:bottom w:val="single" w:sz="4" w:space="0" w:color="5B9BD5"/>
              <w:right w:val="nil"/>
            </w:tcBorders>
            <w:shd w:val="clear" w:color="auto" w:fill="82AFFC"/>
            <w:hideMark/>
          </w:tcPr>
          <w:p w14:paraId="4DAA68E9" w14:textId="77777777" w:rsidR="00B711F7" w:rsidRPr="004E5C8F" w:rsidRDefault="00B711F7" w:rsidP="00176553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 w:rsidRPr="004E5C8F">
              <w:rPr>
                <w:rFonts w:ascii="Arial" w:eastAsia="Arial" w:hAnsi="Arial" w:cs="Arial"/>
                <w:b/>
                <w:i/>
                <w:color w:val="FFFFFF"/>
                <w:sz w:val="20"/>
                <w:szCs w:val="22"/>
                <w:lang w:val="en-US" w:eastAsia="it-IT"/>
              </w:rPr>
              <w:t xml:space="preserve">Financial Targets </w:t>
            </w:r>
          </w:p>
        </w:tc>
        <w:tc>
          <w:tcPr>
            <w:tcW w:w="1373" w:type="dxa"/>
            <w:tcBorders>
              <w:top w:val="single" w:sz="4" w:space="0" w:color="41B9E6"/>
              <w:left w:val="nil"/>
              <w:bottom w:val="single" w:sz="4" w:space="0" w:color="5B9BD5"/>
              <w:right w:val="nil"/>
            </w:tcBorders>
            <w:shd w:val="clear" w:color="auto" w:fill="82AFFC"/>
          </w:tcPr>
          <w:p w14:paraId="1D879B52" w14:textId="77777777" w:rsidR="00B711F7" w:rsidRPr="004E5C8F" w:rsidRDefault="00B711F7" w:rsidP="00176553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</w:p>
        </w:tc>
        <w:tc>
          <w:tcPr>
            <w:tcW w:w="1531" w:type="dxa"/>
            <w:tcBorders>
              <w:top w:val="single" w:sz="4" w:space="0" w:color="41B9E6"/>
              <w:left w:val="nil"/>
              <w:bottom w:val="single" w:sz="4" w:space="0" w:color="5B9BD5"/>
              <w:right w:val="nil"/>
            </w:tcBorders>
            <w:shd w:val="clear" w:color="auto" w:fill="82AFFC"/>
          </w:tcPr>
          <w:p w14:paraId="765E691C" w14:textId="77777777" w:rsidR="00B711F7" w:rsidRPr="004E5C8F" w:rsidRDefault="00B711F7" w:rsidP="00176553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</w:p>
        </w:tc>
        <w:tc>
          <w:tcPr>
            <w:tcW w:w="1531" w:type="dxa"/>
            <w:tcBorders>
              <w:top w:val="single" w:sz="4" w:space="0" w:color="41B9E6"/>
              <w:left w:val="nil"/>
              <w:bottom w:val="single" w:sz="4" w:space="0" w:color="5B9BD5"/>
              <w:right w:val="nil"/>
            </w:tcBorders>
            <w:shd w:val="clear" w:color="auto" w:fill="82AFFC"/>
          </w:tcPr>
          <w:p w14:paraId="1EF34C96" w14:textId="77777777" w:rsidR="00B711F7" w:rsidRPr="004E5C8F" w:rsidRDefault="00B711F7" w:rsidP="00176553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</w:p>
        </w:tc>
      </w:tr>
      <w:tr w:rsidR="00B711F7" w:rsidRPr="00476279" w14:paraId="60C75DB0" w14:textId="77777777" w:rsidTr="00176553">
        <w:trPr>
          <w:trHeight w:val="503"/>
          <w:jc w:val="center"/>
        </w:trPr>
        <w:tc>
          <w:tcPr>
            <w:tcW w:w="2768" w:type="dxa"/>
            <w:tcBorders>
              <w:top w:val="single" w:sz="4" w:space="0" w:color="5B9BD5"/>
              <w:left w:val="single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14:paraId="536D56DD" w14:textId="77777777" w:rsidR="00B711F7" w:rsidRPr="004E5C8F" w:rsidRDefault="00B711F7" w:rsidP="00176553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 w:rsidRPr="004E5C8F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 xml:space="preserve"> </w:t>
            </w:r>
            <w:r w:rsidRPr="00404AF7">
              <w:rPr>
                <w:rFonts w:ascii="Arial" w:eastAsia="Arial" w:hAnsi="Arial" w:cs="Arial"/>
                <w:b/>
                <w:i/>
                <w:color w:val="4472C4"/>
                <w:sz w:val="20"/>
                <w:szCs w:val="22"/>
                <w:lang w:val="en-US" w:eastAsia="it-IT"/>
              </w:rPr>
              <w:t>Earnings growth</w:t>
            </w:r>
          </w:p>
        </w:tc>
        <w:tc>
          <w:tcPr>
            <w:tcW w:w="1373" w:type="dxa"/>
            <w:tcBorders>
              <w:top w:val="single" w:sz="4" w:space="0" w:color="5B9BD5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14:paraId="24AA3D52" w14:textId="7BADE909" w:rsidR="00B711F7" w:rsidRPr="004E5C8F" w:rsidRDefault="00B711F7" w:rsidP="00176553">
            <w:pPr>
              <w:ind w:left="5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 w:rsidRPr="004E5C8F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>202</w:t>
            </w:r>
            <w:r w:rsidR="008950EE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>4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>E</w:t>
            </w:r>
            <w:r w:rsidRPr="004E5C8F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5B9BD5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14:paraId="31FF2EE2" w14:textId="64EED54E" w:rsidR="00B711F7" w:rsidRPr="004E5C8F" w:rsidRDefault="00B711F7" w:rsidP="00176553">
            <w:pPr>
              <w:ind w:left="4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 w:rsidRPr="004E5C8F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>202</w:t>
            </w:r>
            <w:r w:rsidR="008950EE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>5</w:t>
            </w:r>
            <w:r w:rsidRPr="004E5C8F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5B9BD5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14:paraId="25B66181" w14:textId="172B78E8" w:rsidR="00B711F7" w:rsidRPr="004E5C8F" w:rsidRDefault="00B711F7" w:rsidP="00176553">
            <w:pPr>
              <w:ind w:left="5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 w:rsidRPr="004E5C8F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>202</w:t>
            </w:r>
            <w:r w:rsidR="008950EE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>7</w:t>
            </w:r>
          </w:p>
        </w:tc>
      </w:tr>
      <w:tr w:rsidR="00B711F7" w:rsidRPr="00476279" w14:paraId="6EB7FB23" w14:textId="77777777" w:rsidTr="00176553">
        <w:trPr>
          <w:trHeight w:val="406"/>
          <w:jc w:val="center"/>
        </w:trPr>
        <w:tc>
          <w:tcPr>
            <w:tcW w:w="2768" w:type="dxa"/>
            <w:tcBorders>
              <w:top w:val="dashed" w:sz="4" w:space="0" w:color="41B9E6"/>
              <w:left w:val="single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14:paraId="5B62223F" w14:textId="77777777" w:rsidR="00B711F7" w:rsidRPr="004E5C8F" w:rsidRDefault="00B711F7" w:rsidP="00176553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 w:rsidRPr="004E5C8F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>Ordinary EBITDA (€bn)</w:t>
            </w:r>
          </w:p>
        </w:tc>
        <w:tc>
          <w:tcPr>
            <w:tcW w:w="1373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5EC8A7A5" w14:textId="13A7AEE1" w:rsidR="00B711F7" w:rsidRPr="004E5C8F" w:rsidRDefault="00B711F7" w:rsidP="00176553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2</w:t>
            </w:r>
            <w:r w:rsidR="008950EE"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.</w:t>
            </w:r>
            <w:r w:rsidR="008950EE"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-22.</w:t>
            </w:r>
            <w:r w:rsidR="008950EE"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8</w:t>
            </w:r>
          </w:p>
        </w:tc>
        <w:tc>
          <w:tcPr>
            <w:tcW w:w="1531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52D46033" w14:textId="39BE8262" w:rsidR="00B711F7" w:rsidRPr="004E5C8F" w:rsidRDefault="00B64B6B" w:rsidP="00176553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22.9-23.1</w:t>
            </w:r>
          </w:p>
        </w:tc>
        <w:tc>
          <w:tcPr>
            <w:tcW w:w="1531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387B56A6" w14:textId="15A29EBE" w:rsidR="00B711F7" w:rsidRPr="004E5C8F" w:rsidRDefault="00B711F7" w:rsidP="00176553">
            <w:pPr>
              <w:ind w:left="7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2</w:t>
            </w:r>
            <w:r w:rsidR="008950EE"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4.1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-24.</w:t>
            </w:r>
            <w:r w:rsidR="008950EE"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5</w:t>
            </w:r>
          </w:p>
        </w:tc>
      </w:tr>
      <w:tr w:rsidR="00B711F7" w:rsidRPr="00476279" w14:paraId="5CA0EFEC" w14:textId="77777777" w:rsidTr="00176553">
        <w:trPr>
          <w:trHeight w:val="414"/>
          <w:jc w:val="center"/>
        </w:trPr>
        <w:tc>
          <w:tcPr>
            <w:tcW w:w="2768" w:type="dxa"/>
            <w:tcBorders>
              <w:top w:val="dashed" w:sz="4" w:space="0" w:color="41B9E6"/>
              <w:left w:val="single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14:paraId="232A6FF1" w14:textId="77777777" w:rsidR="00B711F7" w:rsidRPr="004E5C8F" w:rsidRDefault="00B711F7" w:rsidP="00176553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 w:rsidRPr="004E5C8F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 xml:space="preserve">Net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>O</w:t>
            </w:r>
            <w:r w:rsidRPr="004E5C8F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 xml:space="preserve">rdinary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>I</w:t>
            </w:r>
            <w:r w:rsidRPr="004E5C8F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>ncome (€bn)</w:t>
            </w:r>
          </w:p>
        </w:tc>
        <w:tc>
          <w:tcPr>
            <w:tcW w:w="1373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2E153EB4" w14:textId="6ADE3AF7" w:rsidR="00B711F7" w:rsidRPr="004E5C8F" w:rsidRDefault="00B711F7" w:rsidP="00176553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6.</w:t>
            </w:r>
            <w:r w:rsidR="008950EE"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-6.</w:t>
            </w:r>
            <w:r w:rsidR="008950EE"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8</w:t>
            </w:r>
          </w:p>
        </w:tc>
        <w:tc>
          <w:tcPr>
            <w:tcW w:w="1531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0013442E" w14:textId="5C9CC35D" w:rsidR="00B711F7" w:rsidRPr="004E5C8F" w:rsidRDefault="00B64B6B" w:rsidP="00176553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6.7-6.9</w:t>
            </w:r>
          </w:p>
        </w:tc>
        <w:tc>
          <w:tcPr>
            <w:tcW w:w="1531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7E2B4271" w14:textId="04FFB7DB" w:rsidR="00B711F7" w:rsidRPr="004E5C8F" w:rsidRDefault="00B711F7" w:rsidP="00176553">
            <w:pPr>
              <w:ind w:left="7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7.</w:t>
            </w:r>
            <w:r w:rsidR="00B64B6B"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-7.</w:t>
            </w:r>
            <w:r w:rsidR="008950EE"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5</w:t>
            </w:r>
          </w:p>
        </w:tc>
      </w:tr>
      <w:tr w:rsidR="00B711F7" w:rsidRPr="00476279" w14:paraId="43F5BC40" w14:textId="77777777" w:rsidTr="00176553">
        <w:trPr>
          <w:trHeight w:val="440"/>
          <w:jc w:val="center"/>
        </w:trPr>
        <w:tc>
          <w:tcPr>
            <w:tcW w:w="2768" w:type="dxa"/>
            <w:tcBorders>
              <w:top w:val="dashed" w:sz="4" w:space="0" w:color="41B9E6"/>
              <w:left w:val="single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25211690" w14:textId="77777777" w:rsidR="00B711F7" w:rsidRPr="004E5C8F" w:rsidRDefault="00B711F7" w:rsidP="00176553">
            <w:pP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</w:pPr>
            <w:r w:rsidRPr="00404AF7">
              <w:rPr>
                <w:rFonts w:ascii="Arial" w:eastAsia="Arial" w:hAnsi="Arial" w:cs="Arial"/>
                <w:b/>
                <w:i/>
                <w:color w:val="4472C4"/>
                <w:sz w:val="20"/>
                <w:szCs w:val="22"/>
                <w:lang w:val="en-US" w:eastAsia="it-IT"/>
              </w:rPr>
              <w:t>Value creation</w:t>
            </w:r>
          </w:p>
        </w:tc>
        <w:tc>
          <w:tcPr>
            <w:tcW w:w="1373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016B6663" w14:textId="77777777" w:rsidR="00B711F7" w:rsidRPr="004E5C8F" w:rsidRDefault="00B711F7" w:rsidP="00176553">
            <w:pPr>
              <w:ind w:left="4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</w:p>
        </w:tc>
        <w:tc>
          <w:tcPr>
            <w:tcW w:w="1531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10438FCD" w14:textId="77777777" w:rsidR="00B711F7" w:rsidRPr="004E5C8F" w:rsidRDefault="00B711F7" w:rsidP="00176553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</w:p>
        </w:tc>
        <w:tc>
          <w:tcPr>
            <w:tcW w:w="1531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0AF068EB" w14:textId="77777777" w:rsidR="00B711F7" w:rsidRPr="004E5C8F" w:rsidRDefault="00B711F7" w:rsidP="00176553">
            <w:pPr>
              <w:ind w:left="4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</w:p>
        </w:tc>
      </w:tr>
      <w:tr w:rsidR="00B711F7" w:rsidRPr="00476279" w14:paraId="1C23888F" w14:textId="77777777" w:rsidTr="00176553">
        <w:trPr>
          <w:trHeight w:val="420"/>
          <w:jc w:val="center"/>
        </w:trPr>
        <w:tc>
          <w:tcPr>
            <w:tcW w:w="2768" w:type="dxa"/>
            <w:vMerge w:val="restart"/>
            <w:tcBorders>
              <w:top w:val="dashed" w:sz="4" w:space="0" w:color="41B9E6"/>
              <w:left w:val="single" w:sz="4" w:space="0" w:color="41B9E6"/>
              <w:right w:val="dashed" w:sz="4" w:space="0" w:color="41B9E6"/>
            </w:tcBorders>
            <w:shd w:val="clear" w:color="auto" w:fill="auto"/>
            <w:vAlign w:val="center"/>
            <w:hideMark/>
          </w:tcPr>
          <w:p w14:paraId="4543C046" w14:textId="77777777" w:rsidR="00B711F7" w:rsidRPr="004E5C8F" w:rsidRDefault="00B711F7" w:rsidP="00176553">
            <w:pP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 w:rsidRPr="004E5C8F"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  <w:t>DPS (€/share)</w:t>
            </w:r>
          </w:p>
        </w:tc>
        <w:tc>
          <w:tcPr>
            <w:tcW w:w="1373" w:type="dxa"/>
            <w:vMerge w:val="restart"/>
            <w:tcBorders>
              <w:top w:val="dashed" w:sz="4" w:space="0" w:color="41B9E6"/>
              <w:left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5334177E" w14:textId="23DF9467" w:rsidR="00B711F7" w:rsidRPr="004E5C8F" w:rsidRDefault="00B711F7" w:rsidP="00176553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0.4</w:t>
            </w:r>
            <w:r w:rsidR="008950EE"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6</w:t>
            </w:r>
          </w:p>
        </w:tc>
        <w:tc>
          <w:tcPr>
            <w:tcW w:w="1531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1076235A" w14:textId="272B5ADD" w:rsidR="00B711F7" w:rsidRPr="004E5C8F" w:rsidRDefault="008950EE" w:rsidP="00176553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0.46*</w:t>
            </w:r>
          </w:p>
        </w:tc>
        <w:tc>
          <w:tcPr>
            <w:tcW w:w="1531" w:type="dxa"/>
            <w:tcBorders>
              <w:top w:val="dashed" w:sz="4" w:space="0" w:color="41B9E6"/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1F3700B9" w14:textId="740925E8" w:rsidR="00B711F7" w:rsidRPr="004E5C8F" w:rsidRDefault="00B711F7" w:rsidP="00176553">
            <w:pPr>
              <w:ind w:left="7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0.4</w:t>
            </w:r>
            <w:r w:rsidR="008950EE"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  <w:t>*</w:t>
            </w:r>
          </w:p>
        </w:tc>
      </w:tr>
      <w:tr w:rsidR="00B711F7" w:rsidRPr="00067C3C" w14:paraId="511367D6" w14:textId="77777777" w:rsidTr="00176553">
        <w:trPr>
          <w:trHeight w:val="420"/>
          <w:jc w:val="center"/>
        </w:trPr>
        <w:tc>
          <w:tcPr>
            <w:tcW w:w="2768" w:type="dxa"/>
            <w:vMerge/>
            <w:tcBorders>
              <w:left w:val="single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1A3A9724" w14:textId="77777777" w:rsidR="00B711F7" w:rsidRDefault="00B711F7" w:rsidP="00176553">
            <w:pPr>
              <w:rPr>
                <w:rFonts w:ascii="Arial" w:eastAsia="Arial" w:hAnsi="Arial" w:cs="Arial"/>
                <w:b/>
                <w:i/>
                <w:color w:val="000000"/>
                <w:sz w:val="20"/>
                <w:szCs w:val="22"/>
                <w:lang w:val="en-US" w:eastAsia="it-IT"/>
              </w:rPr>
            </w:pPr>
          </w:p>
        </w:tc>
        <w:tc>
          <w:tcPr>
            <w:tcW w:w="1373" w:type="dxa"/>
            <w:vMerge/>
            <w:tcBorders>
              <w:left w:val="dashed" w:sz="4" w:space="0" w:color="41B9E6"/>
              <w:bottom w:val="dashed" w:sz="4" w:space="0" w:color="41B9E6"/>
              <w:right w:val="dashed" w:sz="4" w:space="0" w:color="41B9E6"/>
            </w:tcBorders>
            <w:shd w:val="clear" w:color="auto" w:fill="auto"/>
            <w:vAlign w:val="center"/>
          </w:tcPr>
          <w:p w14:paraId="54C4F49A" w14:textId="77777777" w:rsidR="00B711F7" w:rsidRDefault="00B711F7" w:rsidP="00176553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2"/>
                <w:lang w:val="en-US" w:eastAsia="it-IT"/>
              </w:rPr>
            </w:pPr>
          </w:p>
        </w:tc>
        <w:tc>
          <w:tcPr>
            <w:tcW w:w="3062" w:type="dxa"/>
            <w:gridSpan w:val="2"/>
            <w:tcBorders>
              <w:left w:val="dashed" w:sz="4" w:space="0" w:color="41B9E6"/>
              <w:bottom w:val="dashed" w:sz="4" w:space="0" w:color="41B9E6"/>
              <w:right w:val="dashed" w:sz="4" w:space="0" w:color="41B9E6"/>
            </w:tcBorders>
          </w:tcPr>
          <w:p w14:paraId="22E89E73" w14:textId="7B4322BB" w:rsidR="00B711F7" w:rsidRPr="005A5AEB" w:rsidRDefault="004E44AE" w:rsidP="00176553">
            <w:pPr>
              <w:ind w:left="7"/>
              <w:jc w:val="center"/>
              <w:rPr>
                <w:rFonts w:ascii="Arial" w:eastAsia="Arial" w:hAnsi="Arial" w:cs="Arial"/>
                <w:bCs/>
                <w:i/>
                <w:color w:val="000000"/>
                <w:sz w:val="20"/>
                <w:szCs w:val="22"/>
                <w:lang w:val="en-US" w:eastAsia="it-IT"/>
              </w:rPr>
            </w:pPr>
            <w:r>
              <w:rPr>
                <w:rFonts w:ascii="Arial" w:eastAsia="Arial" w:hAnsi="Arial" w:cs="Arial"/>
                <w:bCs/>
                <w:i/>
                <w:color w:val="000000"/>
                <w:sz w:val="20"/>
                <w:szCs w:val="22"/>
                <w:lang w:val="en-US" w:eastAsia="it-IT"/>
              </w:rPr>
              <w:t>Potential i</w:t>
            </w:r>
            <w:r w:rsidR="00B711F7">
              <w:rPr>
                <w:rFonts w:ascii="Arial" w:eastAsia="Arial" w:hAnsi="Arial" w:cs="Arial"/>
                <w:bCs/>
                <w:i/>
                <w:color w:val="000000"/>
                <w:sz w:val="20"/>
                <w:szCs w:val="22"/>
                <w:lang w:val="en-US" w:eastAsia="it-IT"/>
              </w:rPr>
              <w:t xml:space="preserve">ncrease in DPS up to </w:t>
            </w:r>
            <w:r w:rsidR="00B711F7" w:rsidRPr="005A5AEB">
              <w:rPr>
                <w:rFonts w:ascii="Arial" w:eastAsia="Arial" w:hAnsi="Arial" w:cs="Arial"/>
                <w:bCs/>
                <w:i/>
                <w:color w:val="000000"/>
                <w:sz w:val="20"/>
                <w:szCs w:val="22"/>
                <w:lang w:val="en-US" w:eastAsia="it-IT"/>
              </w:rPr>
              <w:t xml:space="preserve">70% payout on </w:t>
            </w:r>
            <w:r w:rsidR="00B711F7">
              <w:rPr>
                <w:rFonts w:ascii="Arial" w:eastAsia="Arial" w:hAnsi="Arial" w:cs="Arial"/>
                <w:bCs/>
                <w:i/>
                <w:color w:val="000000"/>
                <w:sz w:val="20"/>
                <w:szCs w:val="22"/>
                <w:lang w:val="en-US" w:eastAsia="it-IT"/>
              </w:rPr>
              <w:t>N</w:t>
            </w:r>
            <w:r w:rsidR="00B711F7" w:rsidRPr="005A5AEB">
              <w:rPr>
                <w:rFonts w:ascii="Arial" w:eastAsia="Arial" w:hAnsi="Arial" w:cs="Arial"/>
                <w:bCs/>
                <w:i/>
                <w:color w:val="000000"/>
                <w:sz w:val="20"/>
                <w:szCs w:val="22"/>
                <w:lang w:val="en-US" w:eastAsia="it-IT"/>
              </w:rPr>
              <w:t xml:space="preserve">et </w:t>
            </w:r>
            <w:r w:rsidR="00B711F7">
              <w:rPr>
                <w:rFonts w:ascii="Arial" w:eastAsia="Arial" w:hAnsi="Arial" w:cs="Arial"/>
                <w:bCs/>
                <w:i/>
                <w:color w:val="000000"/>
                <w:sz w:val="20"/>
                <w:szCs w:val="22"/>
                <w:lang w:val="en-US" w:eastAsia="it-IT"/>
              </w:rPr>
              <w:t>O</w:t>
            </w:r>
            <w:r w:rsidR="00B711F7" w:rsidRPr="005A5AEB">
              <w:rPr>
                <w:rFonts w:ascii="Arial" w:eastAsia="Arial" w:hAnsi="Arial" w:cs="Arial"/>
                <w:bCs/>
                <w:i/>
                <w:color w:val="000000"/>
                <w:sz w:val="20"/>
                <w:szCs w:val="22"/>
                <w:lang w:val="en-US" w:eastAsia="it-IT"/>
              </w:rPr>
              <w:t xml:space="preserve">rdinary </w:t>
            </w:r>
            <w:r w:rsidR="00B711F7">
              <w:rPr>
                <w:rFonts w:ascii="Arial" w:eastAsia="Arial" w:hAnsi="Arial" w:cs="Arial"/>
                <w:bCs/>
                <w:i/>
                <w:color w:val="000000"/>
                <w:sz w:val="20"/>
                <w:szCs w:val="22"/>
                <w:lang w:val="en-US" w:eastAsia="it-IT"/>
              </w:rPr>
              <w:t>I</w:t>
            </w:r>
            <w:r w:rsidR="00B711F7" w:rsidRPr="005A5AEB">
              <w:rPr>
                <w:rFonts w:ascii="Arial" w:eastAsia="Arial" w:hAnsi="Arial" w:cs="Arial"/>
                <w:bCs/>
                <w:i/>
                <w:color w:val="000000"/>
                <w:sz w:val="20"/>
                <w:szCs w:val="22"/>
                <w:lang w:val="en-US" w:eastAsia="it-IT"/>
              </w:rPr>
              <w:t>ncome</w:t>
            </w:r>
          </w:p>
        </w:tc>
      </w:tr>
    </w:tbl>
    <w:p w14:paraId="70835036" w14:textId="77777777" w:rsidR="00B711F7" w:rsidRDefault="00B711F7" w:rsidP="00B711F7">
      <w:pPr>
        <w:jc w:val="both"/>
        <w:rPr>
          <w:rFonts w:ascii="Arial" w:hAnsi="Arial" w:cs="Arial"/>
          <w:bCs/>
          <w:i/>
          <w:iCs/>
          <w:sz w:val="18"/>
          <w:szCs w:val="18"/>
          <w:lang w:val="en-US"/>
        </w:rPr>
      </w:pPr>
    </w:p>
    <w:p w14:paraId="78A90ECA" w14:textId="394796A7" w:rsidR="00B711F7" w:rsidRDefault="00B711F7" w:rsidP="00B711F7">
      <w:pPr>
        <w:jc w:val="both"/>
        <w:rPr>
          <w:rFonts w:ascii="Arial" w:hAnsi="Arial" w:cs="Arial"/>
          <w:bCs/>
          <w:i/>
          <w:iCs/>
          <w:sz w:val="18"/>
          <w:szCs w:val="18"/>
          <w:lang w:val="en-US"/>
        </w:rPr>
      </w:pPr>
      <w:r w:rsidRPr="0047252E">
        <w:rPr>
          <w:rFonts w:ascii="Arial" w:hAnsi="Arial" w:cs="Arial"/>
          <w:bCs/>
          <w:i/>
          <w:iCs/>
          <w:sz w:val="18"/>
          <w:szCs w:val="18"/>
          <w:lang w:val="en-US"/>
        </w:rPr>
        <w:t>*0.4</w:t>
      </w:r>
      <w:r w:rsidR="004E44AE">
        <w:rPr>
          <w:rFonts w:ascii="Arial" w:hAnsi="Arial" w:cs="Arial"/>
          <w:bCs/>
          <w:i/>
          <w:iCs/>
          <w:sz w:val="18"/>
          <w:szCs w:val="18"/>
          <w:lang w:val="en-US"/>
        </w:rPr>
        <w:t>6</w:t>
      </w:r>
      <w:r w:rsidRPr="0047252E"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 euros/year is the</w:t>
      </w:r>
      <w:r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 fixed</w:t>
      </w:r>
      <w:r w:rsidRPr="0047252E"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 minimum DPS. </w:t>
      </w:r>
    </w:p>
    <w:p w14:paraId="64DD9338" w14:textId="77777777" w:rsidR="00B711F7" w:rsidRDefault="00B711F7" w:rsidP="00B711F7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9968F2E" w14:textId="77777777" w:rsidR="00CC2078" w:rsidRPr="00692FD5" w:rsidRDefault="00CC2078" w:rsidP="00B711F7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365B8BE" w14:textId="6C1DE89F" w:rsidR="00B711F7" w:rsidRPr="00692FD5" w:rsidRDefault="00B711F7" w:rsidP="00B711F7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AF3956">
        <w:rPr>
          <w:rFonts w:ascii="Arial" w:hAnsi="Arial" w:cs="Arial"/>
          <w:sz w:val="20"/>
          <w:szCs w:val="20"/>
          <w:lang w:val="en-US"/>
        </w:rPr>
        <w:t>“</w:t>
      </w:r>
      <w:r w:rsidR="00057E2F" w:rsidRPr="007C6DF6">
        <w:rPr>
          <w:rFonts w:ascii="Arial" w:hAnsi="Arial" w:cs="Arial"/>
          <w:i/>
          <w:iCs/>
          <w:sz w:val="20"/>
          <w:szCs w:val="20"/>
          <w:lang w:val="en-US"/>
        </w:rPr>
        <w:t>T</w:t>
      </w:r>
      <w:r w:rsidR="00057E2F" w:rsidRPr="00AF3956">
        <w:rPr>
          <w:rFonts w:ascii="Arial" w:hAnsi="Arial" w:cs="Arial"/>
          <w:i/>
          <w:iCs/>
          <w:sz w:val="20"/>
          <w:szCs w:val="20"/>
          <w:lang w:val="en-US"/>
        </w:rPr>
        <w:t>he managerial actions carried out in the past year</w:t>
      </w:r>
      <w:r w:rsidR="00057E2F">
        <w:rPr>
          <w:rFonts w:ascii="Arial" w:hAnsi="Arial" w:cs="Arial"/>
          <w:i/>
          <w:iCs/>
          <w:sz w:val="20"/>
          <w:szCs w:val="20"/>
          <w:lang w:val="en-US"/>
        </w:rPr>
        <w:t xml:space="preserve"> allowed us to achieve all </w:t>
      </w:r>
      <w:r w:rsidR="00BB5BF7">
        <w:rPr>
          <w:rFonts w:ascii="Arial" w:hAnsi="Arial" w:cs="Arial"/>
          <w:i/>
          <w:iCs/>
          <w:sz w:val="20"/>
          <w:szCs w:val="20"/>
          <w:lang w:val="en-US"/>
        </w:rPr>
        <w:t>t</w:t>
      </w:r>
      <w:r w:rsidR="00057E2F">
        <w:rPr>
          <w:rFonts w:ascii="Arial" w:hAnsi="Arial" w:cs="Arial"/>
          <w:i/>
          <w:iCs/>
          <w:sz w:val="20"/>
          <w:szCs w:val="20"/>
          <w:lang w:val="en-US"/>
        </w:rPr>
        <w:t>he targets</w:t>
      </w:r>
      <w:r w:rsidR="00FD4A42">
        <w:rPr>
          <w:rFonts w:ascii="Arial" w:hAnsi="Arial" w:cs="Arial"/>
          <w:i/>
          <w:iCs/>
          <w:sz w:val="20"/>
          <w:szCs w:val="20"/>
          <w:lang w:val="en-US"/>
        </w:rPr>
        <w:t xml:space="preserve"> we</w:t>
      </w:r>
      <w:r w:rsidR="00057E2F">
        <w:rPr>
          <w:rFonts w:ascii="Arial" w:hAnsi="Arial" w:cs="Arial"/>
          <w:i/>
          <w:iCs/>
          <w:sz w:val="20"/>
          <w:szCs w:val="20"/>
          <w:lang w:val="en-US"/>
        </w:rPr>
        <w:t xml:space="preserve"> announced to the markets</w:t>
      </w:r>
      <w:r w:rsidR="008E7D5C">
        <w:rPr>
          <w:rFonts w:ascii="Arial" w:hAnsi="Arial" w:cs="Arial"/>
          <w:i/>
          <w:iCs/>
          <w:sz w:val="20"/>
          <w:szCs w:val="20"/>
          <w:lang w:val="en-US"/>
        </w:rPr>
        <w:t xml:space="preserve"> and to strengthen the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 Group’s </w:t>
      </w:r>
      <w:r w:rsidR="008E7D5C">
        <w:rPr>
          <w:rFonts w:ascii="Arial" w:hAnsi="Arial" w:cs="Arial"/>
          <w:i/>
          <w:iCs/>
          <w:sz w:val="20"/>
          <w:szCs w:val="20"/>
          <w:lang w:val="en-US"/>
        </w:rPr>
        <w:t>financial</w:t>
      </w:r>
      <w:r w:rsidR="008E7D5C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>solidity</w:t>
      </w:r>
      <w:r w:rsidR="004A7DD2"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r w:rsidR="00467D0F">
        <w:rPr>
          <w:rFonts w:ascii="Arial" w:hAnsi="Arial" w:cs="Arial"/>
          <w:i/>
          <w:iCs/>
          <w:sz w:val="20"/>
          <w:szCs w:val="20"/>
          <w:lang w:val="en-US"/>
        </w:rPr>
        <w:t>We can therefore</w:t>
      </w:r>
      <w:r w:rsidR="008E7D5C">
        <w:rPr>
          <w:rFonts w:ascii="Arial" w:hAnsi="Arial" w:cs="Arial"/>
          <w:i/>
          <w:iCs/>
          <w:sz w:val="20"/>
          <w:szCs w:val="20"/>
          <w:lang w:val="en-US"/>
        </w:rPr>
        <w:t xml:space="preserve"> begin</w:t>
      </w:r>
      <w:r w:rsidR="008E7D5C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a new chapter of growth </w:t>
      </w:r>
      <w:r w:rsidR="004A7DD2">
        <w:rPr>
          <w:rFonts w:ascii="Arial" w:hAnsi="Arial" w:cs="Arial"/>
          <w:i/>
          <w:iCs/>
          <w:sz w:val="20"/>
          <w:szCs w:val="20"/>
          <w:lang w:val="en-US"/>
        </w:rPr>
        <w:t>that will create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 further value for shareholders and</w:t>
      </w:r>
      <w:r w:rsidR="008E7D5C">
        <w:rPr>
          <w:rFonts w:ascii="Arial" w:hAnsi="Arial" w:cs="Arial"/>
          <w:i/>
          <w:iCs/>
          <w:sz w:val="20"/>
          <w:szCs w:val="20"/>
          <w:lang w:val="en-US"/>
        </w:rPr>
        <w:t xml:space="preserve"> all our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 stakeholders</w:t>
      </w:r>
      <w:r w:rsidR="00AF3956">
        <w:rPr>
          <w:rFonts w:ascii="Arial" w:hAnsi="Arial" w:cs="Arial"/>
          <w:i/>
          <w:iCs/>
          <w:sz w:val="20"/>
          <w:szCs w:val="20"/>
          <w:lang w:val="en-US"/>
        </w:rPr>
        <w:t>,”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8E7D5C" w:rsidRPr="00AF3956">
        <w:rPr>
          <w:rFonts w:ascii="Arial" w:hAnsi="Arial" w:cs="Arial"/>
          <w:sz w:val="20"/>
          <w:szCs w:val="20"/>
          <w:lang w:val="en-US"/>
        </w:rPr>
        <w:t>said</w:t>
      </w:r>
      <w:r w:rsidR="008E7D5C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8E7D5C" w:rsidRPr="00AF3956">
        <w:rPr>
          <w:rFonts w:ascii="Arial" w:hAnsi="Arial" w:cs="Arial"/>
          <w:b/>
          <w:sz w:val="20"/>
          <w:szCs w:val="20"/>
          <w:lang w:val="en-US"/>
        </w:rPr>
        <w:t>Flavio Cattaneo</w:t>
      </w:r>
      <w:r w:rsidR="008E7D5C" w:rsidRPr="00AF3956">
        <w:rPr>
          <w:rFonts w:ascii="Arial" w:hAnsi="Arial" w:cs="Arial"/>
          <w:sz w:val="20"/>
          <w:szCs w:val="20"/>
          <w:lang w:val="en-US"/>
        </w:rPr>
        <w:t>, CEO of Enel</w:t>
      </w:r>
      <w:r w:rsidR="008E7D5C">
        <w:rPr>
          <w:rFonts w:ascii="Arial" w:hAnsi="Arial" w:cs="Arial"/>
          <w:sz w:val="20"/>
          <w:szCs w:val="20"/>
          <w:lang w:val="en-US"/>
        </w:rPr>
        <w:t xml:space="preserve">. </w:t>
      </w:r>
      <w:r w:rsidR="00AF3956">
        <w:rPr>
          <w:rFonts w:ascii="Arial" w:hAnsi="Arial" w:cs="Arial"/>
          <w:sz w:val="20"/>
          <w:szCs w:val="20"/>
          <w:lang w:val="en-US"/>
        </w:rPr>
        <w:t>“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Between 2025 and 2027, we will focus on core activities and </w:t>
      </w:r>
      <w:r w:rsidR="00CE0552">
        <w:rPr>
          <w:rFonts w:ascii="Arial" w:hAnsi="Arial" w:cs="Arial"/>
          <w:i/>
          <w:iCs/>
          <w:sz w:val="20"/>
          <w:szCs w:val="20"/>
          <w:lang w:val="en-US"/>
        </w:rPr>
        <w:t xml:space="preserve">a 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>flexible capital allocation</w:t>
      </w:r>
      <w:r w:rsidR="00E472B7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r w:rsidR="000C34C4">
        <w:rPr>
          <w:rFonts w:ascii="Arial" w:hAnsi="Arial" w:cs="Arial"/>
          <w:i/>
          <w:iCs/>
          <w:sz w:val="20"/>
          <w:szCs w:val="20"/>
          <w:lang w:val="en-US"/>
        </w:rPr>
        <w:t xml:space="preserve">increasing </w:t>
      </w:r>
      <w:r w:rsidR="00E472B7">
        <w:rPr>
          <w:rFonts w:ascii="Arial" w:hAnsi="Arial" w:cs="Arial"/>
          <w:i/>
          <w:iCs/>
          <w:sz w:val="20"/>
          <w:szCs w:val="20"/>
          <w:lang w:val="en-US"/>
        </w:rPr>
        <w:t xml:space="preserve">investments </w:t>
      </w:r>
      <w:r w:rsidR="000C34C4">
        <w:rPr>
          <w:rFonts w:ascii="Arial" w:hAnsi="Arial" w:cs="Arial"/>
          <w:i/>
          <w:iCs/>
          <w:sz w:val="20"/>
          <w:szCs w:val="20"/>
          <w:lang w:val="en-US"/>
        </w:rPr>
        <w:t>mainly on regulated assets with predictable</w:t>
      </w:r>
      <w:r w:rsidR="000C34C4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>returns</w:t>
      </w:r>
      <w:r w:rsidR="00E472B7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B1401F">
        <w:rPr>
          <w:rFonts w:ascii="Arial" w:hAnsi="Arial" w:cs="Arial"/>
          <w:i/>
          <w:iCs/>
          <w:sz w:val="20"/>
          <w:szCs w:val="20"/>
          <w:lang w:val="en-US"/>
        </w:rPr>
        <w:t>that will also support</w:t>
      </w:r>
      <w:r w:rsidR="00E472B7">
        <w:rPr>
          <w:rFonts w:ascii="Arial" w:hAnsi="Arial" w:cs="Arial"/>
          <w:i/>
          <w:iCs/>
          <w:sz w:val="20"/>
          <w:szCs w:val="20"/>
          <w:lang w:val="en-US"/>
        </w:rPr>
        <w:t xml:space="preserve"> the acceleration of the energy transition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r w:rsidR="005278B9">
        <w:rPr>
          <w:rFonts w:ascii="Arial" w:hAnsi="Arial" w:cs="Arial"/>
          <w:i/>
          <w:iCs/>
          <w:sz w:val="20"/>
          <w:szCs w:val="20"/>
          <w:lang w:val="en-US"/>
        </w:rPr>
        <w:t>Moreover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, we will continue to enhance efficiency and profitability, including through new </w:t>
      </w:r>
      <w:r w:rsidR="00B1401F">
        <w:rPr>
          <w:rFonts w:ascii="Arial" w:hAnsi="Arial" w:cs="Arial"/>
          <w:i/>
          <w:iCs/>
          <w:sz w:val="20"/>
          <w:szCs w:val="20"/>
          <w:lang w:val="en-US"/>
        </w:rPr>
        <w:t xml:space="preserve">business 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opportunities. This strategy enables us to revise </w:t>
      </w:r>
      <w:r w:rsidR="0088144A">
        <w:rPr>
          <w:rFonts w:ascii="Arial" w:hAnsi="Arial" w:cs="Arial"/>
          <w:i/>
          <w:iCs/>
          <w:sz w:val="20"/>
          <w:szCs w:val="20"/>
          <w:lang w:val="en-US"/>
        </w:rPr>
        <w:t>the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 dividend policy upwards </w:t>
      </w:r>
      <w:r w:rsidR="00B64B6B">
        <w:rPr>
          <w:rFonts w:ascii="Arial" w:hAnsi="Arial" w:cs="Arial"/>
          <w:i/>
          <w:iCs/>
          <w:sz w:val="20"/>
          <w:szCs w:val="20"/>
          <w:lang w:val="en-US"/>
        </w:rPr>
        <w:t xml:space="preserve">over the Plan period </w:t>
      </w:r>
      <w:r w:rsidR="00F55E80">
        <w:rPr>
          <w:rFonts w:ascii="Arial" w:hAnsi="Arial" w:cs="Arial"/>
          <w:i/>
          <w:iCs/>
          <w:sz w:val="20"/>
          <w:szCs w:val="20"/>
          <w:lang w:val="en-US"/>
        </w:rPr>
        <w:t>with a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6B57B3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fixed minimum dividend </w:t>
      </w:r>
      <w:r w:rsidR="00F55E80">
        <w:rPr>
          <w:rFonts w:ascii="Arial" w:hAnsi="Arial" w:cs="Arial"/>
          <w:i/>
          <w:iCs/>
          <w:sz w:val="20"/>
          <w:szCs w:val="20"/>
          <w:lang w:val="en-US"/>
        </w:rPr>
        <w:t>of</w:t>
      </w:r>
      <w:r w:rsidR="006B57B3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>0.46 euro</w:t>
      </w:r>
      <w:r w:rsidR="00BF4448"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F60A06" w:rsidRPr="00AF3956">
        <w:rPr>
          <w:rFonts w:ascii="Arial" w:hAnsi="Arial" w:cs="Arial"/>
          <w:i/>
          <w:iCs/>
          <w:sz w:val="20"/>
          <w:szCs w:val="20"/>
          <w:lang w:val="en-US"/>
        </w:rPr>
        <w:t>per share</w:t>
      </w:r>
      <w:r w:rsidR="0005347D">
        <w:rPr>
          <w:rFonts w:ascii="Arial" w:hAnsi="Arial" w:cs="Arial"/>
          <w:i/>
          <w:iCs/>
          <w:sz w:val="20"/>
          <w:szCs w:val="20"/>
          <w:lang w:val="en-US"/>
        </w:rPr>
        <w:t xml:space="preserve"> increasing from 0.43 euros set in the previous Plan </w:t>
      </w:r>
      <w:r w:rsidR="00C027EB">
        <w:rPr>
          <w:rFonts w:ascii="Arial" w:hAnsi="Arial" w:cs="Arial"/>
          <w:i/>
          <w:iCs/>
          <w:sz w:val="20"/>
          <w:szCs w:val="20"/>
          <w:lang w:val="en-US"/>
        </w:rPr>
        <w:t>and with</w:t>
      </w:r>
      <w:r w:rsidR="00B64B6B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a potential further upside </w:t>
      </w:r>
      <w:r w:rsidR="00B64B6B">
        <w:rPr>
          <w:rFonts w:ascii="Arial" w:hAnsi="Arial" w:cs="Arial"/>
          <w:i/>
          <w:iCs/>
          <w:sz w:val="20"/>
          <w:szCs w:val="20"/>
          <w:lang w:val="en-US"/>
        </w:rPr>
        <w:t>of</w:t>
      </w:r>
      <w:r w:rsidR="00B64B6B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up to a 70% payout on Net </w:t>
      </w:r>
      <w:r w:rsidR="00CC0943">
        <w:rPr>
          <w:rFonts w:ascii="Arial" w:hAnsi="Arial" w:cs="Arial"/>
          <w:i/>
          <w:iCs/>
          <w:sz w:val="20"/>
          <w:szCs w:val="20"/>
          <w:lang w:val="en-US"/>
        </w:rPr>
        <w:t>O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 xml:space="preserve">rdinary </w:t>
      </w:r>
      <w:r w:rsidR="00CC0943">
        <w:rPr>
          <w:rFonts w:ascii="Arial" w:hAnsi="Arial" w:cs="Arial"/>
          <w:i/>
          <w:iCs/>
          <w:sz w:val="20"/>
          <w:szCs w:val="20"/>
          <w:lang w:val="en-US"/>
        </w:rPr>
        <w:t>I</w:t>
      </w:r>
      <w:r w:rsidR="004F1EA1" w:rsidRPr="00AF3956">
        <w:rPr>
          <w:rFonts w:ascii="Arial" w:hAnsi="Arial" w:cs="Arial"/>
          <w:i/>
          <w:iCs/>
          <w:sz w:val="20"/>
          <w:szCs w:val="20"/>
          <w:lang w:val="en-US"/>
        </w:rPr>
        <w:t>ncome.</w:t>
      </w:r>
      <w:r w:rsidRPr="00AF3956">
        <w:rPr>
          <w:rFonts w:ascii="Arial" w:hAnsi="Arial" w:cs="Arial"/>
          <w:sz w:val="20"/>
          <w:szCs w:val="20"/>
          <w:lang w:val="en-US"/>
        </w:rPr>
        <w:t>”</w:t>
      </w:r>
      <w:r w:rsidRPr="00AF3956" w:rsidDel="000148E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06D0BFF" w14:textId="77777777" w:rsidR="00B711F7" w:rsidRDefault="00B711F7" w:rsidP="00B711F7">
      <w:pPr>
        <w:jc w:val="both"/>
        <w:rPr>
          <w:rFonts w:ascii="Arial" w:eastAsia="Calibri" w:hAnsi="Arial" w:cs="Arial"/>
          <w:i/>
          <w:iCs/>
          <w:sz w:val="20"/>
          <w:szCs w:val="20"/>
          <w:lang w:val="en-US" w:eastAsia="en-US"/>
        </w:rPr>
      </w:pPr>
    </w:p>
    <w:p w14:paraId="4271E73D" w14:textId="73F3F5E5" w:rsidR="00B711F7" w:rsidRPr="002C70DD" w:rsidRDefault="00B711F7" w:rsidP="00B711F7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C70DD">
        <w:rPr>
          <w:rFonts w:ascii="Arial" w:hAnsi="Arial" w:cs="Arial"/>
          <w:b/>
          <w:sz w:val="20"/>
          <w:szCs w:val="20"/>
          <w:lang w:val="en-US"/>
        </w:rPr>
        <w:t xml:space="preserve">Rome, November </w:t>
      </w:r>
      <w:r w:rsidR="00692FD5">
        <w:rPr>
          <w:rFonts w:ascii="Arial" w:hAnsi="Arial" w:cs="Arial"/>
          <w:b/>
          <w:sz w:val="20"/>
          <w:szCs w:val="20"/>
          <w:lang w:val="en-US"/>
        </w:rPr>
        <w:t>18</w:t>
      </w:r>
      <w:r w:rsidR="00692FD5" w:rsidRPr="00E3314A">
        <w:rPr>
          <w:rFonts w:ascii="Arial" w:hAnsi="Arial" w:cs="Arial"/>
          <w:b/>
          <w:sz w:val="20"/>
          <w:szCs w:val="20"/>
          <w:vertAlign w:val="superscript"/>
          <w:lang w:val="en-US"/>
        </w:rPr>
        <w:t>th</w:t>
      </w:r>
      <w:r w:rsidRPr="002C70DD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692FD5" w:rsidRPr="002C70DD">
        <w:rPr>
          <w:rFonts w:ascii="Arial" w:hAnsi="Arial" w:cs="Arial"/>
          <w:b/>
          <w:sz w:val="20"/>
          <w:szCs w:val="20"/>
          <w:lang w:val="en-US"/>
        </w:rPr>
        <w:t>202</w:t>
      </w:r>
      <w:r w:rsidR="00692FD5">
        <w:rPr>
          <w:rFonts w:ascii="Arial" w:hAnsi="Arial" w:cs="Arial"/>
          <w:b/>
          <w:sz w:val="20"/>
          <w:szCs w:val="20"/>
          <w:lang w:val="en-US"/>
        </w:rPr>
        <w:t>4</w:t>
      </w:r>
      <w:r w:rsidR="00692FD5" w:rsidRPr="002C70DD">
        <w:rPr>
          <w:rFonts w:ascii="Arial" w:hAnsi="Arial" w:cs="Arial"/>
          <w:sz w:val="20"/>
          <w:szCs w:val="20"/>
          <w:lang w:val="en-US"/>
        </w:rPr>
        <w:t xml:space="preserve"> </w:t>
      </w:r>
      <w:r w:rsidRPr="002C70DD">
        <w:rPr>
          <w:rFonts w:ascii="Arial" w:hAnsi="Arial" w:cs="Arial"/>
          <w:sz w:val="20"/>
          <w:szCs w:val="20"/>
          <w:lang w:val="en-US"/>
        </w:rPr>
        <w:t xml:space="preserve">- </w:t>
      </w:r>
      <w:r w:rsidR="004C0CAB">
        <w:rPr>
          <w:rFonts w:ascii="Arial" w:hAnsi="Arial" w:cs="Arial"/>
          <w:sz w:val="20"/>
          <w:szCs w:val="20"/>
          <w:lang w:val="en-US"/>
        </w:rPr>
        <w:t xml:space="preserve">Today, </w:t>
      </w:r>
      <w:r w:rsidRPr="002C70DD">
        <w:rPr>
          <w:rFonts w:ascii="Arial" w:hAnsi="Arial" w:cs="Arial"/>
          <w:sz w:val="20"/>
          <w:szCs w:val="20"/>
          <w:lang w:val="en-US"/>
        </w:rPr>
        <w:t xml:space="preserve">Enel is presenting </w:t>
      </w:r>
      <w:r w:rsidR="00BF27BF">
        <w:rPr>
          <w:rFonts w:ascii="Arial" w:hAnsi="Arial" w:cs="Arial"/>
          <w:sz w:val="20"/>
          <w:szCs w:val="20"/>
          <w:lang w:val="en-US"/>
        </w:rPr>
        <w:t>the</w:t>
      </w:r>
      <w:r w:rsidR="00372D53">
        <w:rPr>
          <w:rFonts w:ascii="Arial" w:hAnsi="Arial" w:cs="Arial"/>
          <w:sz w:val="20"/>
          <w:szCs w:val="20"/>
          <w:lang w:val="en-US"/>
        </w:rPr>
        <w:t xml:space="preserve"> Group’s</w:t>
      </w:r>
      <w:r w:rsidR="00BF27BF" w:rsidRPr="002C70DD">
        <w:rPr>
          <w:rFonts w:ascii="Arial" w:hAnsi="Arial" w:cs="Arial"/>
          <w:sz w:val="20"/>
          <w:szCs w:val="20"/>
          <w:lang w:val="en-US"/>
        </w:rPr>
        <w:t xml:space="preserve"> 202</w:t>
      </w:r>
      <w:r w:rsidR="00BF27BF">
        <w:rPr>
          <w:rFonts w:ascii="Arial" w:hAnsi="Arial" w:cs="Arial"/>
          <w:sz w:val="20"/>
          <w:szCs w:val="20"/>
          <w:lang w:val="en-US"/>
        </w:rPr>
        <w:t>5</w:t>
      </w:r>
      <w:r w:rsidR="00BF27BF" w:rsidRPr="002C70DD">
        <w:rPr>
          <w:rFonts w:ascii="Arial" w:hAnsi="Arial" w:cs="Arial"/>
          <w:sz w:val="20"/>
          <w:szCs w:val="20"/>
          <w:lang w:val="en-US"/>
        </w:rPr>
        <w:t>-202</w:t>
      </w:r>
      <w:r w:rsidR="00BF27BF">
        <w:rPr>
          <w:rFonts w:ascii="Arial" w:hAnsi="Arial" w:cs="Arial"/>
          <w:sz w:val="20"/>
          <w:szCs w:val="20"/>
          <w:lang w:val="en-US"/>
        </w:rPr>
        <w:t>7</w:t>
      </w:r>
      <w:r w:rsidR="00BF27BF" w:rsidRPr="002C70DD">
        <w:rPr>
          <w:rFonts w:ascii="Arial" w:hAnsi="Arial" w:cs="Arial"/>
          <w:sz w:val="20"/>
          <w:szCs w:val="20"/>
          <w:lang w:val="en-US"/>
        </w:rPr>
        <w:t xml:space="preserve"> Strategic Plan </w:t>
      </w:r>
      <w:r w:rsidRPr="002C70DD">
        <w:rPr>
          <w:rFonts w:ascii="Arial" w:hAnsi="Arial" w:cs="Arial"/>
          <w:sz w:val="20"/>
          <w:szCs w:val="20"/>
          <w:lang w:val="en-US"/>
        </w:rPr>
        <w:t xml:space="preserve">to financial markets and </w:t>
      </w: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Pr="002C70DD">
        <w:rPr>
          <w:rFonts w:ascii="Arial" w:hAnsi="Arial" w:cs="Arial"/>
          <w:sz w:val="20"/>
          <w:szCs w:val="20"/>
          <w:lang w:val="en-US"/>
        </w:rPr>
        <w:t>media.</w:t>
      </w:r>
    </w:p>
    <w:p w14:paraId="26C0F271" w14:textId="77777777" w:rsidR="00B711F7" w:rsidRPr="005152A4" w:rsidRDefault="00B711F7" w:rsidP="00B711F7">
      <w:pPr>
        <w:jc w:val="both"/>
        <w:rPr>
          <w:rFonts w:ascii="Arial" w:eastAsia="Calibri" w:hAnsi="Arial" w:cs="Arial"/>
          <w:i/>
          <w:iCs/>
          <w:sz w:val="20"/>
          <w:szCs w:val="20"/>
          <w:lang w:val="en-US" w:eastAsia="en-US"/>
        </w:rPr>
      </w:pPr>
    </w:p>
    <w:p w14:paraId="36735D8E" w14:textId="37AF52C8" w:rsidR="006203A0" w:rsidRDefault="00336A96" w:rsidP="00B711F7">
      <w:pPr>
        <w:pStyle w:val="Default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THE ENEL GROUP IN 2024</w:t>
      </w:r>
    </w:p>
    <w:p w14:paraId="578C422E" w14:textId="77777777" w:rsidR="006253DD" w:rsidRDefault="006253DD" w:rsidP="00B711F7">
      <w:pPr>
        <w:pStyle w:val="Default"/>
        <w:jc w:val="both"/>
        <w:rPr>
          <w:b/>
          <w:bCs/>
          <w:sz w:val="20"/>
          <w:szCs w:val="20"/>
          <w:lang w:val="en-US"/>
        </w:rPr>
      </w:pPr>
    </w:p>
    <w:p w14:paraId="7B9F8B6F" w14:textId="0E12B3BB" w:rsidR="006253DD" w:rsidRPr="00E3314A" w:rsidRDefault="001124BB" w:rsidP="00E3314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Over the course of</w:t>
      </w:r>
      <w:r w:rsidR="006253DD">
        <w:rPr>
          <w:rFonts w:ascii="Arial" w:hAnsi="Arial" w:cs="Arial"/>
          <w:sz w:val="20"/>
          <w:szCs w:val="20"/>
          <w:lang w:val="en-US"/>
        </w:rPr>
        <w:t xml:space="preserve"> 2024, the Group has </w:t>
      </w:r>
      <w:r w:rsidR="00112827">
        <w:rPr>
          <w:rFonts w:ascii="Arial" w:hAnsi="Arial" w:cs="Arial"/>
          <w:sz w:val="20"/>
          <w:szCs w:val="20"/>
          <w:lang w:val="en-US"/>
        </w:rPr>
        <w:t>posted</w:t>
      </w:r>
      <w:r w:rsidR="006253DD">
        <w:rPr>
          <w:rFonts w:ascii="Arial" w:hAnsi="Arial" w:cs="Arial"/>
          <w:sz w:val="20"/>
          <w:szCs w:val="20"/>
          <w:lang w:val="en-US"/>
        </w:rPr>
        <w:t xml:space="preserve"> a</w:t>
      </w:r>
      <w:r w:rsidR="006253DD" w:rsidRPr="00E3314A">
        <w:rPr>
          <w:rFonts w:ascii="Arial" w:hAnsi="Arial" w:cs="Arial"/>
          <w:sz w:val="20"/>
          <w:szCs w:val="20"/>
          <w:lang w:val="en-US"/>
        </w:rPr>
        <w:t xml:space="preserve"> solid performance</w:t>
      </w:r>
      <w:r w:rsidR="006253DD">
        <w:rPr>
          <w:rFonts w:ascii="Arial" w:hAnsi="Arial" w:cs="Arial"/>
          <w:sz w:val="20"/>
          <w:szCs w:val="20"/>
          <w:lang w:val="en-US"/>
        </w:rPr>
        <w:t>,</w:t>
      </w:r>
      <w:r w:rsidR="006253DD" w:rsidRPr="00E3314A">
        <w:rPr>
          <w:rFonts w:ascii="Arial" w:hAnsi="Arial" w:cs="Arial"/>
          <w:sz w:val="20"/>
          <w:szCs w:val="20"/>
          <w:lang w:val="en-US"/>
        </w:rPr>
        <w:t xml:space="preserve"> reflect</w:t>
      </w:r>
      <w:r w:rsidR="006253DD">
        <w:rPr>
          <w:rFonts w:ascii="Arial" w:hAnsi="Arial" w:cs="Arial"/>
          <w:sz w:val="20"/>
          <w:szCs w:val="20"/>
          <w:lang w:val="en-US"/>
        </w:rPr>
        <w:t>ing</w:t>
      </w:r>
      <w:r w:rsidR="006253DD" w:rsidRPr="00E3314A">
        <w:rPr>
          <w:rFonts w:ascii="Arial" w:hAnsi="Arial" w:cs="Arial"/>
          <w:sz w:val="20"/>
          <w:szCs w:val="20"/>
          <w:lang w:val="en-US"/>
        </w:rPr>
        <w:t xml:space="preserve"> </w:t>
      </w:r>
      <w:r w:rsidR="00B64B6B">
        <w:rPr>
          <w:rFonts w:ascii="Arial" w:hAnsi="Arial" w:cs="Arial"/>
          <w:sz w:val="20"/>
          <w:szCs w:val="20"/>
          <w:lang w:val="en-US"/>
        </w:rPr>
        <w:t>the</w:t>
      </w:r>
      <w:r w:rsidR="00B64B6B" w:rsidRPr="00E3314A">
        <w:rPr>
          <w:rFonts w:ascii="Arial" w:hAnsi="Arial" w:cs="Arial"/>
          <w:sz w:val="20"/>
          <w:szCs w:val="20"/>
          <w:lang w:val="en-US"/>
        </w:rPr>
        <w:t xml:space="preserve"> </w:t>
      </w:r>
      <w:r w:rsidR="006253DD" w:rsidRPr="00E3314A">
        <w:rPr>
          <w:rFonts w:ascii="Arial" w:hAnsi="Arial" w:cs="Arial"/>
          <w:sz w:val="20"/>
          <w:szCs w:val="20"/>
          <w:lang w:val="en-US"/>
        </w:rPr>
        <w:t>ability to deliver</w:t>
      </w:r>
      <w:r w:rsidR="006253DD">
        <w:rPr>
          <w:rFonts w:ascii="Arial" w:hAnsi="Arial" w:cs="Arial"/>
          <w:sz w:val="20"/>
          <w:szCs w:val="20"/>
          <w:lang w:val="en-US"/>
        </w:rPr>
        <w:t xml:space="preserve"> </w:t>
      </w:r>
      <w:r w:rsidR="006253DD" w:rsidRPr="00E3314A">
        <w:rPr>
          <w:rFonts w:ascii="Arial" w:hAnsi="Arial" w:cs="Arial"/>
          <w:sz w:val="20"/>
          <w:szCs w:val="20"/>
          <w:lang w:val="en-US"/>
        </w:rPr>
        <w:t xml:space="preserve">on </w:t>
      </w:r>
      <w:r w:rsidR="00112827">
        <w:rPr>
          <w:rFonts w:ascii="Arial" w:hAnsi="Arial" w:cs="Arial"/>
          <w:sz w:val="20"/>
          <w:szCs w:val="20"/>
          <w:lang w:val="en-US"/>
        </w:rPr>
        <w:t>objectives</w:t>
      </w:r>
      <w:r w:rsidR="006F2184">
        <w:rPr>
          <w:rFonts w:ascii="Arial" w:hAnsi="Arial" w:cs="Arial"/>
          <w:sz w:val="20"/>
          <w:szCs w:val="20"/>
          <w:lang w:val="en-US"/>
        </w:rPr>
        <w:t xml:space="preserve"> </w:t>
      </w:r>
      <w:r w:rsidR="00F35788">
        <w:rPr>
          <w:rFonts w:ascii="Arial" w:hAnsi="Arial" w:cs="Arial"/>
          <w:sz w:val="20"/>
          <w:szCs w:val="20"/>
          <w:lang w:val="en-US"/>
        </w:rPr>
        <w:t>in line with</w:t>
      </w:r>
      <w:r w:rsidR="006253DD" w:rsidRPr="00E3314A">
        <w:rPr>
          <w:rFonts w:ascii="Arial" w:hAnsi="Arial" w:cs="Arial"/>
          <w:sz w:val="20"/>
          <w:szCs w:val="20"/>
          <w:lang w:val="en-US"/>
        </w:rPr>
        <w:t xml:space="preserve"> the </w:t>
      </w:r>
      <w:r w:rsidR="001857A0">
        <w:rPr>
          <w:rFonts w:ascii="Arial" w:hAnsi="Arial" w:cs="Arial"/>
          <w:sz w:val="20"/>
          <w:szCs w:val="20"/>
          <w:lang w:val="en-US"/>
        </w:rPr>
        <w:t>Strategic Plan presented</w:t>
      </w:r>
      <w:r w:rsidR="006253DD" w:rsidRPr="00E3314A">
        <w:rPr>
          <w:rFonts w:ascii="Arial" w:hAnsi="Arial" w:cs="Arial"/>
          <w:sz w:val="20"/>
          <w:szCs w:val="20"/>
          <w:lang w:val="en-US"/>
        </w:rPr>
        <w:t xml:space="preserve"> </w:t>
      </w:r>
      <w:r w:rsidR="004558C9">
        <w:rPr>
          <w:rFonts w:ascii="Arial" w:hAnsi="Arial" w:cs="Arial"/>
          <w:sz w:val="20"/>
          <w:szCs w:val="20"/>
          <w:lang w:val="en-US"/>
        </w:rPr>
        <w:t>a year ago</w:t>
      </w:r>
      <w:r w:rsidR="00505F2C">
        <w:rPr>
          <w:rFonts w:ascii="Arial" w:hAnsi="Arial" w:cs="Arial"/>
          <w:sz w:val="20"/>
          <w:szCs w:val="20"/>
          <w:lang w:val="en-US"/>
        </w:rPr>
        <w:t>. Specifically</w:t>
      </w:r>
      <w:r w:rsidR="006253DD" w:rsidRPr="00E3314A">
        <w:rPr>
          <w:rFonts w:ascii="Arial" w:hAnsi="Arial" w:cs="Arial"/>
          <w:sz w:val="20"/>
          <w:szCs w:val="20"/>
          <w:lang w:val="en-US"/>
        </w:rPr>
        <w:t>:</w:t>
      </w:r>
    </w:p>
    <w:p w14:paraId="32B526C6" w14:textId="6D6323D1" w:rsidR="006253DD" w:rsidRPr="00E3314A" w:rsidRDefault="00426333" w:rsidP="00E3314A">
      <w:pPr>
        <w:pStyle w:val="Prrafodelista"/>
        <w:numPr>
          <w:ilvl w:val="0"/>
          <w:numId w:val="35"/>
        </w:numPr>
        <w:rPr>
          <w:rFonts w:ascii="Arial" w:hAnsi="Arial" w:cs="Arial"/>
          <w:szCs w:val="20"/>
          <w:lang w:val="en-US"/>
        </w:rPr>
      </w:pPr>
      <w:r w:rsidRPr="00E3314A">
        <w:rPr>
          <w:rFonts w:ascii="Arial" w:hAnsi="Arial" w:cs="Arial"/>
          <w:szCs w:val="20"/>
          <w:lang w:val="en-US"/>
        </w:rPr>
        <w:t>The</w:t>
      </w:r>
      <w:r w:rsidR="006253DD" w:rsidRPr="00E3314A">
        <w:rPr>
          <w:rFonts w:ascii="Arial" w:hAnsi="Arial" w:cs="Arial"/>
          <w:szCs w:val="20"/>
          <w:lang w:val="en-US"/>
        </w:rPr>
        <w:t xml:space="preserve"> disposal plan has been successfully completed</w:t>
      </w:r>
      <w:r w:rsidR="006E49BA">
        <w:rPr>
          <w:rStyle w:val="Refdenotaalpie"/>
          <w:rFonts w:ascii="Arial" w:hAnsi="Arial" w:cs="Arial"/>
          <w:szCs w:val="20"/>
          <w:lang w:val="en-US"/>
        </w:rPr>
        <w:footnoteReference w:id="2"/>
      </w:r>
      <w:r w:rsidRPr="00E3314A">
        <w:rPr>
          <w:rFonts w:ascii="Arial" w:hAnsi="Arial" w:cs="Arial"/>
          <w:szCs w:val="20"/>
          <w:lang w:val="en-US"/>
        </w:rPr>
        <w:t>;</w:t>
      </w:r>
    </w:p>
    <w:p w14:paraId="6A9D40BC" w14:textId="465E8192" w:rsidR="006253DD" w:rsidRPr="00E3314A" w:rsidRDefault="00D00956" w:rsidP="00E3314A">
      <w:pPr>
        <w:pStyle w:val="Prrafodelista"/>
        <w:numPr>
          <w:ilvl w:val="0"/>
          <w:numId w:val="35"/>
        </w:numPr>
        <w:rPr>
          <w:rFonts w:ascii="Arial" w:hAnsi="Arial" w:cs="Arial"/>
          <w:szCs w:val="20"/>
          <w:lang w:val="en-US"/>
        </w:rPr>
      </w:pPr>
      <w:r w:rsidRPr="00E3314A">
        <w:rPr>
          <w:rFonts w:ascii="Arial" w:hAnsi="Arial" w:cs="Arial"/>
          <w:szCs w:val="20"/>
          <w:lang w:val="en-US"/>
        </w:rPr>
        <w:lastRenderedPageBreak/>
        <w:t>The Group has</w:t>
      </w:r>
      <w:r w:rsidR="006253DD" w:rsidRPr="00E3314A">
        <w:rPr>
          <w:rFonts w:ascii="Arial" w:hAnsi="Arial" w:cs="Arial"/>
          <w:szCs w:val="20"/>
          <w:lang w:val="en-US"/>
        </w:rPr>
        <w:t xml:space="preserve"> refocused on </w:t>
      </w:r>
      <w:r w:rsidRPr="00E3314A">
        <w:rPr>
          <w:rFonts w:ascii="Arial" w:hAnsi="Arial" w:cs="Arial"/>
          <w:szCs w:val="20"/>
          <w:lang w:val="en-US"/>
        </w:rPr>
        <w:t>its</w:t>
      </w:r>
      <w:r w:rsidR="006253DD" w:rsidRPr="00E3314A">
        <w:rPr>
          <w:rFonts w:ascii="Arial" w:hAnsi="Arial" w:cs="Arial"/>
          <w:szCs w:val="20"/>
          <w:lang w:val="en-US"/>
        </w:rPr>
        <w:t xml:space="preserve"> core businesses and investments with higher </w:t>
      </w:r>
      <w:r w:rsidR="00040A99">
        <w:rPr>
          <w:rFonts w:ascii="Arial" w:hAnsi="Arial" w:cs="Arial"/>
          <w:szCs w:val="20"/>
          <w:lang w:val="en-US"/>
        </w:rPr>
        <w:t>profitability</w:t>
      </w:r>
      <w:r w:rsidR="006253DD" w:rsidRPr="00E3314A">
        <w:rPr>
          <w:rFonts w:ascii="Arial" w:hAnsi="Arial" w:cs="Arial"/>
          <w:szCs w:val="20"/>
          <w:lang w:val="en-US"/>
        </w:rPr>
        <w:t>, improving</w:t>
      </w:r>
      <w:r w:rsidR="00040A99">
        <w:rPr>
          <w:rFonts w:ascii="Arial" w:hAnsi="Arial" w:cs="Arial"/>
          <w:szCs w:val="20"/>
          <w:lang w:val="en-US"/>
        </w:rPr>
        <w:t xml:space="preserve"> productivity and</w:t>
      </w:r>
      <w:r w:rsidR="006253DD" w:rsidRPr="00E3314A">
        <w:rPr>
          <w:rFonts w:ascii="Arial" w:hAnsi="Arial" w:cs="Arial"/>
          <w:szCs w:val="20"/>
          <w:lang w:val="en-US"/>
        </w:rPr>
        <w:t xml:space="preserve"> capital structur</w:t>
      </w:r>
      <w:r w:rsidRPr="00E3314A">
        <w:rPr>
          <w:rFonts w:ascii="Arial" w:hAnsi="Arial" w:cs="Arial"/>
          <w:szCs w:val="20"/>
          <w:lang w:val="en-US"/>
        </w:rPr>
        <w:t>e;</w:t>
      </w:r>
    </w:p>
    <w:p w14:paraId="2DC95F17" w14:textId="20C68284" w:rsidR="006253DD" w:rsidRPr="00E3314A" w:rsidRDefault="00D00956" w:rsidP="00E3314A">
      <w:pPr>
        <w:pStyle w:val="Prrafodelista"/>
        <w:numPr>
          <w:ilvl w:val="0"/>
          <w:numId w:val="35"/>
        </w:numPr>
        <w:rPr>
          <w:rFonts w:ascii="Arial" w:hAnsi="Arial" w:cs="Arial"/>
          <w:szCs w:val="20"/>
          <w:lang w:val="en-US"/>
        </w:rPr>
      </w:pPr>
      <w:r w:rsidRPr="00E3314A">
        <w:rPr>
          <w:rFonts w:ascii="Arial" w:hAnsi="Arial" w:cs="Arial"/>
          <w:szCs w:val="20"/>
          <w:lang w:val="en-US"/>
        </w:rPr>
        <w:t>D</w:t>
      </w:r>
      <w:r w:rsidR="006253DD" w:rsidRPr="00E3314A">
        <w:rPr>
          <w:rFonts w:ascii="Arial" w:hAnsi="Arial" w:cs="Arial"/>
          <w:szCs w:val="20"/>
          <w:lang w:val="en-US"/>
        </w:rPr>
        <w:t xml:space="preserve">ebt </w:t>
      </w:r>
      <w:r w:rsidRPr="00E3314A">
        <w:rPr>
          <w:rFonts w:ascii="Arial" w:hAnsi="Arial" w:cs="Arial"/>
          <w:szCs w:val="20"/>
          <w:lang w:val="en-US"/>
        </w:rPr>
        <w:t xml:space="preserve">has been reduced </w:t>
      </w:r>
      <w:r w:rsidR="00B64B6B">
        <w:rPr>
          <w:rFonts w:ascii="Arial" w:hAnsi="Arial" w:cs="Arial"/>
          <w:szCs w:val="20"/>
          <w:lang w:val="en-US"/>
        </w:rPr>
        <w:t>in line with</w:t>
      </w:r>
      <w:r w:rsidR="0005398C">
        <w:rPr>
          <w:rFonts w:ascii="Arial" w:hAnsi="Arial" w:cs="Arial"/>
          <w:szCs w:val="20"/>
          <w:lang w:val="en-US"/>
        </w:rPr>
        <w:t xml:space="preserve"> the</w:t>
      </w:r>
      <w:r w:rsidR="00B64B6B" w:rsidRPr="00E3314A">
        <w:rPr>
          <w:rFonts w:ascii="Arial" w:hAnsi="Arial" w:cs="Arial"/>
          <w:szCs w:val="20"/>
          <w:lang w:val="en-US"/>
        </w:rPr>
        <w:t xml:space="preserve"> </w:t>
      </w:r>
      <w:r w:rsidR="006253DD" w:rsidRPr="00E3314A">
        <w:rPr>
          <w:rFonts w:ascii="Arial" w:hAnsi="Arial" w:cs="Arial"/>
          <w:szCs w:val="20"/>
          <w:lang w:val="en-US"/>
        </w:rPr>
        <w:t>target</w:t>
      </w:r>
      <w:r w:rsidR="003A3E67" w:rsidRPr="00E3314A">
        <w:rPr>
          <w:rFonts w:ascii="Arial" w:hAnsi="Arial" w:cs="Arial"/>
          <w:szCs w:val="20"/>
          <w:lang w:val="en-US"/>
        </w:rPr>
        <w:t>s</w:t>
      </w:r>
      <w:r w:rsidR="002B3CBB">
        <w:rPr>
          <w:rFonts w:ascii="Arial" w:hAnsi="Arial" w:cs="Arial"/>
          <w:szCs w:val="20"/>
          <w:lang w:val="en-US"/>
        </w:rPr>
        <w:t xml:space="preserve"> set</w:t>
      </w:r>
      <w:r w:rsidR="006253DD" w:rsidRPr="00E3314A">
        <w:rPr>
          <w:rFonts w:ascii="Arial" w:hAnsi="Arial" w:cs="Arial"/>
          <w:szCs w:val="20"/>
          <w:lang w:val="en-US"/>
        </w:rPr>
        <w:t xml:space="preserve">, </w:t>
      </w:r>
      <w:r w:rsidR="00984E3D">
        <w:rPr>
          <w:rFonts w:ascii="Arial" w:hAnsi="Arial" w:cs="Arial"/>
          <w:szCs w:val="20"/>
          <w:lang w:val="en-US"/>
        </w:rPr>
        <w:t xml:space="preserve">well </w:t>
      </w:r>
      <w:r w:rsidR="003A3E67">
        <w:rPr>
          <w:rFonts w:ascii="Arial" w:hAnsi="Arial" w:cs="Arial"/>
          <w:szCs w:val="20"/>
          <w:lang w:val="en-US"/>
        </w:rPr>
        <w:t>positioning</w:t>
      </w:r>
      <w:r w:rsidR="006253DD" w:rsidRPr="00E3314A">
        <w:rPr>
          <w:rFonts w:ascii="Arial" w:hAnsi="Arial" w:cs="Arial"/>
          <w:szCs w:val="20"/>
          <w:lang w:val="en-US"/>
        </w:rPr>
        <w:t xml:space="preserve"> the Group for long</w:t>
      </w:r>
      <w:r w:rsidR="003A3E67" w:rsidRPr="00E3314A">
        <w:rPr>
          <w:rFonts w:ascii="Arial" w:hAnsi="Arial" w:cs="Arial"/>
          <w:szCs w:val="20"/>
          <w:lang w:val="en-US"/>
        </w:rPr>
        <w:t>-</w:t>
      </w:r>
      <w:r w:rsidR="006253DD" w:rsidRPr="00E3314A">
        <w:rPr>
          <w:rFonts w:ascii="Arial" w:hAnsi="Arial" w:cs="Arial"/>
          <w:szCs w:val="20"/>
          <w:lang w:val="en-US"/>
        </w:rPr>
        <w:t>term, sustainable and more</w:t>
      </w:r>
      <w:r w:rsidR="003A3E67" w:rsidRPr="00E3314A">
        <w:rPr>
          <w:rFonts w:ascii="Arial" w:hAnsi="Arial" w:cs="Arial"/>
          <w:szCs w:val="20"/>
          <w:lang w:val="en-US"/>
        </w:rPr>
        <w:t xml:space="preserve"> </w:t>
      </w:r>
      <w:r w:rsidR="006253DD" w:rsidRPr="00E3314A">
        <w:rPr>
          <w:rFonts w:ascii="Arial" w:hAnsi="Arial" w:cs="Arial"/>
          <w:szCs w:val="20"/>
          <w:lang w:val="en-US"/>
        </w:rPr>
        <w:t>profitable growth.</w:t>
      </w:r>
    </w:p>
    <w:p w14:paraId="74382DF7" w14:textId="77777777" w:rsidR="0066521D" w:rsidRDefault="0066521D" w:rsidP="006253DD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885293C" w14:textId="329DAB10" w:rsidR="006253DD" w:rsidRPr="00E3314A" w:rsidRDefault="0066521D" w:rsidP="00E3314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Group</w:t>
      </w:r>
      <w:r w:rsidR="006253DD" w:rsidRPr="00E3314A">
        <w:rPr>
          <w:rFonts w:ascii="Arial" w:hAnsi="Arial" w:cs="Arial"/>
          <w:sz w:val="20"/>
          <w:szCs w:val="20"/>
          <w:lang w:val="en-US"/>
        </w:rPr>
        <w:t xml:space="preserve"> is now ready to start a new chapter</w:t>
      </w:r>
      <w:r w:rsidR="00817B8F">
        <w:rPr>
          <w:rFonts w:ascii="Arial" w:hAnsi="Arial" w:cs="Arial"/>
          <w:sz w:val="20"/>
          <w:szCs w:val="20"/>
          <w:lang w:val="en-US"/>
        </w:rPr>
        <w:t xml:space="preserve"> of sustainable growth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057003D2" w14:textId="77777777" w:rsidR="006203A0" w:rsidRDefault="006203A0" w:rsidP="00B711F7">
      <w:pPr>
        <w:pStyle w:val="Default"/>
        <w:jc w:val="both"/>
        <w:rPr>
          <w:b/>
          <w:bCs/>
          <w:sz w:val="20"/>
          <w:szCs w:val="20"/>
          <w:lang w:val="en-US"/>
        </w:rPr>
      </w:pPr>
    </w:p>
    <w:p w14:paraId="5321A660" w14:textId="64C98930" w:rsidR="00B711F7" w:rsidRDefault="001D07F0" w:rsidP="00B711F7">
      <w:pPr>
        <w:pStyle w:val="Default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The energy context</w:t>
      </w:r>
    </w:p>
    <w:p w14:paraId="4CF89C19" w14:textId="77777777" w:rsidR="00B711F7" w:rsidRPr="00401532" w:rsidRDefault="00B711F7" w:rsidP="00B711F7">
      <w:pPr>
        <w:pStyle w:val="Default"/>
        <w:jc w:val="both"/>
        <w:rPr>
          <w:b/>
          <w:bCs/>
          <w:sz w:val="20"/>
          <w:szCs w:val="20"/>
          <w:lang w:val="en-US"/>
        </w:rPr>
      </w:pPr>
    </w:p>
    <w:p w14:paraId="555AB892" w14:textId="0147564C" w:rsidR="00B31A2D" w:rsidRDefault="00DD47C7" w:rsidP="00B31A2D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 </w:t>
      </w:r>
      <w:r w:rsidR="00E6025C">
        <w:rPr>
          <w:sz w:val="20"/>
          <w:szCs w:val="20"/>
          <w:lang w:val="en-US"/>
        </w:rPr>
        <w:t>the coming years</w:t>
      </w:r>
      <w:r w:rsidR="00B31A2D">
        <w:rPr>
          <w:sz w:val="20"/>
          <w:szCs w:val="20"/>
          <w:lang w:val="en-US"/>
        </w:rPr>
        <w:t>, e</w:t>
      </w:r>
      <w:r w:rsidR="00B31A2D" w:rsidRPr="00B31A2D">
        <w:rPr>
          <w:sz w:val="20"/>
          <w:szCs w:val="20"/>
          <w:lang w:val="en-US"/>
        </w:rPr>
        <w:t xml:space="preserve">lectricity </w:t>
      </w:r>
      <w:r w:rsidR="00E6025C">
        <w:rPr>
          <w:sz w:val="20"/>
          <w:szCs w:val="20"/>
          <w:lang w:val="en-US"/>
        </w:rPr>
        <w:t>will continue</w:t>
      </w:r>
      <w:r>
        <w:rPr>
          <w:sz w:val="20"/>
          <w:szCs w:val="20"/>
          <w:lang w:val="en-US"/>
        </w:rPr>
        <w:t xml:space="preserve"> to </w:t>
      </w:r>
      <w:r w:rsidR="00B31A2D" w:rsidRPr="00B31A2D">
        <w:rPr>
          <w:sz w:val="20"/>
          <w:szCs w:val="20"/>
          <w:lang w:val="en-US"/>
        </w:rPr>
        <w:t>play a leading role in the energy transition</w:t>
      </w:r>
      <w:r w:rsidR="00B31A2D">
        <w:rPr>
          <w:sz w:val="20"/>
          <w:szCs w:val="20"/>
          <w:lang w:val="en-US"/>
        </w:rPr>
        <w:t xml:space="preserve">, with </w:t>
      </w:r>
      <w:r w:rsidR="001F5121">
        <w:rPr>
          <w:sz w:val="20"/>
          <w:szCs w:val="20"/>
          <w:lang w:val="en-US"/>
        </w:rPr>
        <w:t xml:space="preserve">an increase in </w:t>
      </w:r>
      <w:r w:rsidR="00B31A2D">
        <w:rPr>
          <w:sz w:val="20"/>
          <w:szCs w:val="20"/>
          <w:lang w:val="en-US"/>
        </w:rPr>
        <w:t xml:space="preserve">consumption driven by </w:t>
      </w:r>
      <w:r w:rsidR="00B31A2D" w:rsidRPr="00B31A2D">
        <w:rPr>
          <w:sz w:val="20"/>
          <w:szCs w:val="20"/>
          <w:lang w:val="en-US"/>
        </w:rPr>
        <w:t>electrification.</w:t>
      </w:r>
      <w:r w:rsidR="00BF26FE">
        <w:rPr>
          <w:sz w:val="20"/>
          <w:szCs w:val="20"/>
          <w:lang w:val="en-US"/>
        </w:rPr>
        <w:t xml:space="preserve"> Against this background</w:t>
      </w:r>
      <w:r w:rsidR="006606EA">
        <w:rPr>
          <w:sz w:val="20"/>
          <w:szCs w:val="20"/>
          <w:lang w:val="en-US"/>
        </w:rPr>
        <w:t>, r</w:t>
      </w:r>
      <w:r w:rsidR="00B31A2D" w:rsidRPr="00B31A2D">
        <w:rPr>
          <w:sz w:val="20"/>
          <w:szCs w:val="20"/>
          <w:lang w:val="en-US"/>
        </w:rPr>
        <w:t xml:space="preserve">enewables are expected to grow </w:t>
      </w:r>
      <w:r w:rsidR="006606EA">
        <w:rPr>
          <w:sz w:val="20"/>
          <w:szCs w:val="20"/>
          <w:lang w:val="en-US"/>
        </w:rPr>
        <w:t xml:space="preserve">even further </w:t>
      </w:r>
      <w:r w:rsidR="00B31A2D" w:rsidRPr="00B31A2D">
        <w:rPr>
          <w:sz w:val="20"/>
          <w:szCs w:val="20"/>
          <w:lang w:val="en-US"/>
        </w:rPr>
        <w:t xml:space="preserve">and </w:t>
      </w:r>
      <w:r w:rsidR="00A37BD9">
        <w:rPr>
          <w:sz w:val="20"/>
          <w:szCs w:val="20"/>
          <w:lang w:val="en-US"/>
        </w:rPr>
        <w:t>power</w:t>
      </w:r>
      <w:r w:rsidR="00E27BFF" w:rsidRPr="00B31A2D">
        <w:rPr>
          <w:sz w:val="20"/>
          <w:szCs w:val="20"/>
          <w:lang w:val="en-US"/>
        </w:rPr>
        <w:t xml:space="preserve"> </w:t>
      </w:r>
      <w:r w:rsidR="00B31A2D" w:rsidRPr="00B31A2D">
        <w:rPr>
          <w:sz w:val="20"/>
          <w:szCs w:val="20"/>
          <w:lang w:val="en-US"/>
        </w:rPr>
        <w:t xml:space="preserve">systems </w:t>
      </w:r>
      <w:r w:rsidR="004514BE">
        <w:rPr>
          <w:sz w:val="20"/>
          <w:szCs w:val="20"/>
          <w:lang w:val="en-US"/>
        </w:rPr>
        <w:t xml:space="preserve">to </w:t>
      </w:r>
      <w:r w:rsidR="00B31A2D" w:rsidRPr="00B31A2D">
        <w:rPr>
          <w:sz w:val="20"/>
          <w:szCs w:val="20"/>
          <w:lang w:val="en-US"/>
        </w:rPr>
        <w:t xml:space="preserve">continue to require baseload </w:t>
      </w:r>
      <w:r w:rsidR="00A00150">
        <w:rPr>
          <w:sz w:val="20"/>
          <w:szCs w:val="20"/>
          <w:lang w:val="en-US"/>
        </w:rPr>
        <w:t>and</w:t>
      </w:r>
      <w:r w:rsidR="0033552D">
        <w:rPr>
          <w:sz w:val="20"/>
          <w:szCs w:val="20"/>
          <w:lang w:val="en-US"/>
        </w:rPr>
        <w:t xml:space="preserve"> </w:t>
      </w:r>
      <w:r w:rsidR="001F5121">
        <w:rPr>
          <w:sz w:val="20"/>
          <w:szCs w:val="20"/>
          <w:lang w:val="en-US"/>
        </w:rPr>
        <w:t xml:space="preserve">flexibility </w:t>
      </w:r>
      <w:r w:rsidR="001F5121" w:rsidRPr="00B31A2D">
        <w:rPr>
          <w:sz w:val="20"/>
          <w:szCs w:val="20"/>
          <w:lang w:val="en-US"/>
        </w:rPr>
        <w:t xml:space="preserve">technologies </w:t>
      </w:r>
      <w:r w:rsidR="00F47372">
        <w:rPr>
          <w:sz w:val="20"/>
          <w:szCs w:val="20"/>
          <w:lang w:val="en-US"/>
        </w:rPr>
        <w:t xml:space="preserve">with the aim </w:t>
      </w:r>
      <w:r w:rsidR="00B31A2D" w:rsidRPr="00B31A2D">
        <w:rPr>
          <w:sz w:val="20"/>
          <w:szCs w:val="20"/>
          <w:lang w:val="en-US"/>
        </w:rPr>
        <w:t xml:space="preserve">to </w:t>
      </w:r>
      <w:r w:rsidR="00F47372">
        <w:rPr>
          <w:sz w:val="20"/>
          <w:szCs w:val="20"/>
          <w:lang w:val="en-US"/>
        </w:rPr>
        <w:t>meet demand at any time of day</w:t>
      </w:r>
      <w:r w:rsidR="00F47372" w:rsidRPr="00B31A2D">
        <w:rPr>
          <w:sz w:val="20"/>
          <w:szCs w:val="20"/>
          <w:lang w:val="en-US"/>
        </w:rPr>
        <w:t xml:space="preserve"> </w:t>
      </w:r>
      <w:r w:rsidR="000A1AF1">
        <w:rPr>
          <w:sz w:val="20"/>
          <w:szCs w:val="20"/>
          <w:lang w:val="en-US"/>
        </w:rPr>
        <w:t>as well as minimiz</w:t>
      </w:r>
      <w:r w:rsidR="00B50F65">
        <w:rPr>
          <w:sz w:val="20"/>
          <w:szCs w:val="20"/>
          <w:lang w:val="en-US"/>
        </w:rPr>
        <w:t>e</w:t>
      </w:r>
      <w:r w:rsidR="000A1AF1">
        <w:rPr>
          <w:sz w:val="20"/>
          <w:szCs w:val="20"/>
          <w:lang w:val="en-US"/>
        </w:rPr>
        <w:t xml:space="preserve"> price volatility</w:t>
      </w:r>
      <w:r w:rsidR="00B31A2D" w:rsidRPr="00B31A2D">
        <w:rPr>
          <w:sz w:val="20"/>
          <w:szCs w:val="20"/>
          <w:lang w:val="en-US"/>
        </w:rPr>
        <w:t>.</w:t>
      </w:r>
      <w:r w:rsidR="00D87053">
        <w:rPr>
          <w:sz w:val="20"/>
          <w:szCs w:val="20"/>
          <w:lang w:val="en-US"/>
        </w:rPr>
        <w:t xml:space="preserve"> </w:t>
      </w:r>
    </w:p>
    <w:p w14:paraId="69DF094F" w14:textId="77777777" w:rsidR="00D87053" w:rsidRPr="00B31A2D" w:rsidRDefault="00D87053" w:rsidP="00B31A2D">
      <w:pPr>
        <w:pStyle w:val="Default"/>
        <w:jc w:val="both"/>
        <w:rPr>
          <w:sz w:val="20"/>
          <w:szCs w:val="20"/>
          <w:lang w:val="en-US"/>
        </w:rPr>
      </w:pPr>
    </w:p>
    <w:p w14:paraId="0FF78B09" w14:textId="3C19753F" w:rsidR="00930AD9" w:rsidRDefault="00AC7357" w:rsidP="00B31A2D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="00B31A2D" w:rsidRPr="00B31A2D">
        <w:rPr>
          <w:sz w:val="20"/>
          <w:szCs w:val="20"/>
          <w:lang w:val="en-US"/>
        </w:rPr>
        <w:t xml:space="preserve">istribution networks </w:t>
      </w:r>
      <w:r w:rsidR="00D87053">
        <w:rPr>
          <w:sz w:val="20"/>
          <w:szCs w:val="20"/>
          <w:lang w:val="en-US"/>
        </w:rPr>
        <w:t>will continue to be</w:t>
      </w:r>
      <w:r w:rsidR="00B31A2D" w:rsidRPr="00B31A2D">
        <w:rPr>
          <w:sz w:val="20"/>
          <w:szCs w:val="20"/>
          <w:lang w:val="en-US"/>
        </w:rPr>
        <w:t xml:space="preserve"> the </w:t>
      </w:r>
      <w:r w:rsidR="0063378D">
        <w:rPr>
          <w:sz w:val="20"/>
          <w:szCs w:val="20"/>
          <w:lang w:val="en-US"/>
        </w:rPr>
        <w:t>enabler</w:t>
      </w:r>
      <w:r w:rsidR="00E90069">
        <w:rPr>
          <w:sz w:val="20"/>
          <w:szCs w:val="20"/>
          <w:lang w:val="en-US"/>
        </w:rPr>
        <w:t>s</w:t>
      </w:r>
      <w:r w:rsidR="00B31A2D" w:rsidRPr="00B31A2D">
        <w:rPr>
          <w:sz w:val="20"/>
          <w:szCs w:val="20"/>
          <w:lang w:val="en-US"/>
        </w:rPr>
        <w:t xml:space="preserve"> of the </w:t>
      </w:r>
      <w:r w:rsidR="0063378D">
        <w:rPr>
          <w:sz w:val="20"/>
          <w:szCs w:val="20"/>
          <w:lang w:val="en-US"/>
        </w:rPr>
        <w:t xml:space="preserve">energy </w:t>
      </w:r>
      <w:r w:rsidR="00B31A2D" w:rsidRPr="00B31A2D">
        <w:rPr>
          <w:sz w:val="20"/>
          <w:szCs w:val="20"/>
          <w:lang w:val="en-US"/>
        </w:rPr>
        <w:t>transition</w:t>
      </w:r>
      <w:r w:rsidR="000E572A">
        <w:rPr>
          <w:sz w:val="20"/>
          <w:szCs w:val="20"/>
          <w:lang w:val="en-US"/>
        </w:rPr>
        <w:t xml:space="preserve">, requiring higher </w:t>
      </w:r>
      <w:r w:rsidR="00B31A2D" w:rsidRPr="00B31A2D">
        <w:rPr>
          <w:sz w:val="20"/>
          <w:szCs w:val="20"/>
          <w:lang w:val="en-US"/>
        </w:rPr>
        <w:t xml:space="preserve">investments to host the growing renewable capacity </w:t>
      </w:r>
      <w:r w:rsidR="000E572A">
        <w:rPr>
          <w:sz w:val="20"/>
          <w:szCs w:val="20"/>
          <w:lang w:val="en-US"/>
        </w:rPr>
        <w:t>as well as</w:t>
      </w:r>
      <w:r w:rsidR="0063378D">
        <w:rPr>
          <w:sz w:val="20"/>
          <w:szCs w:val="20"/>
          <w:lang w:val="en-US"/>
        </w:rPr>
        <w:t xml:space="preserve"> guaranteeing</w:t>
      </w:r>
      <w:r w:rsidR="000E572A">
        <w:rPr>
          <w:sz w:val="20"/>
          <w:szCs w:val="20"/>
          <w:lang w:val="en-US"/>
        </w:rPr>
        <w:t xml:space="preserve"> increas</w:t>
      </w:r>
      <w:r w:rsidR="0063378D">
        <w:rPr>
          <w:sz w:val="20"/>
          <w:szCs w:val="20"/>
          <w:lang w:val="en-US"/>
        </w:rPr>
        <w:t>ed</w:t>
      </w:r>
      <w:r w:rsidR="00B31A2D" w:rsidRPr="00B31A2D">
        <w:rPr>
          <w:sz w:val="20"/>
          <w:szCs w:val="20"/>
          <w:lang w:val="en-US"/>
        </w:rPr>
        <w:t xml:space="preserve"> resilience to extreme weather events</w:t>
      </w:r>
      <w:r w:rsidR="001C3EC0">
        <w:rPr>
          <w:sz w:val="20"/>
          <w:szCs w:val="20"/>
          <w:lang w:val="en-US"/>
        </w:rPr>
        <w:t xml:space="preserve"> that are even more frequent</w:t>
      </w:r>
      <w:r w:rsidR="00D70BA1">
        <w:rPr>
          <w:sz w:val="20"/>
          <w:szCs w:val="20"/>
          <w:lang w:val="en-US"/>
        </w:rPr>
        <w:t>,</w:t>
      </w:r>
      <w:r w:rsidR="00E27BFF">
        <w:rPr>
          <w:sz w:val="20"/>
          <w:szCs w:val="20"/>
          <w:lang w:val="en-US"/>
        </w:rPr>
        <w:t xml:space="preserve"> </w:t>
      </w:r>
      <w:r w:rsidR="00BE2731">
        <w:rPr>
          <w:sz w:val="20"/>
          <w:szCs w:val="20"/>
          <w:lang w:val="en-US"/>
        </w:rPr>
        <w:t>severe</w:t>
      </w:r>
      <w:r w:rsidR="00793674">
        <w:rPr>
          <w:sz w:val="20"/>
          <w:szCs w:val="20"/>
          <w:lang w:val="en-US"/>
        </w:rPr>
        <w:t xml:space="preserve"> and </w:t>
      </w:r>
      <w:r w:rsidR="00127234">
        <w:rPr>
          <w:sz w:val="20"/>
          <w:szCs w:val="20"/>
          <w:lang w:val="en-US"/>
        </w:rPr>
        <w:t xml:space="preserve">that </w:t>
      </w:r>
      <w:r w:rsidR="00793674">
        <w:rPr>
          <w:sz w:val="20"/>
          <w:szCs w:val="20"/>
          <w:lang w:val="en-US"/>
        </w:rPr>
        <w:t xml:space="preserve">have become the new normal </w:t>
      </w:r>
      <w:r w:rsidR="001C3EC0">
        <w:rPr>
          <w:sz w:val="20"/>
          <w:szCs w:val="20"/>
          <w:lang w:val="en-US"/>
        </w:rPr>
        <w:t>due to the effects of</w:t>
      </w:r>
      <w:r w:rsidR="00B31A2D" w:rsidRPr="00B31A2D">
        <w:rPr>
          <w:sz w:val="20"/>
          <w:szCs w:val="20"/>
          <w:lang w:val="en-US"/>
        </w:rPr>
        <w:t xml:space="preserve"> climate change</w:t>
      </w:r>
      <w:r w:rsidR="00930AD9">
        <w:rPr>
          <w:sz w:val="20"/>
          <w:szCs w:val="20"/>
          <w:lang w:val="en-US"/>
        </w:rPr>
        <w:t>.</w:t>
      </w:r>
      <w:r w:rsidR="00B31A2D" w:rsidRPr="00B31A2D">
        <w:rPr>
          <w:sz w:val="20"/>
          <w:szCs w:val="20"/>
          <w:lang w:val="en-US"/>
        </w:rPr>
        <w:t xml:space="preserve"> </w:t>
      </w:r>
    </w:p>
    <w:p w14:paraId="33FC6A76" w14:textId="77777777" w:rsidR="00930AD9" w:rsidRDefault="00930AD9" w:rsidP="00B31A2D">
      <w:pPr>
        <w:pStyle w:val="Default"/>
        <w:jc w:val="both"/>
        <w:rPr>
          <w:sz w:val="20"/>
          <w:szCs w:val="20"/>
          <w:lang w:val="en-US"/>
        </w:rPr>
      </w:pPr>
    </w:p>
    <w:p w14:paraId="328E6AD3" w14:textId="590AE663" w:rsidR="00930AD9" w:rsidRDefault="00AC7357" w:rsidP="00B31A2D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 this context, n</w:t>
      </w:r>
      <w:r w:rsidR="00930AD9" w:rsidRPr="00B31A2D">
        <w:rPr>
          <w:sz w:val="20"/>
          <w:szCs w:val="20"/>
          <w:lang w:val="en-US"/>
        </w:rPr>
        <w:t xml:space="preserve">ew </w:t>
      </w:r>
      <w:r w:rsidR="002464B6">
        <w:rPr>
          <w:sz w:val="20"/>
          <w:szCs w:val="20"/>
          <w:lang w:val="en-US"/>
        </w:rPr>
        <w:t xml:space="preserve">power </w:t>
      </w:r>
      <w:r w:rsidR="00930AD9" w:rsidRPr="00B31A2D">
        <w:rPr>
          <w:sz w:val="20"/>
          <w:szCs w:val="20"/>
          <w:lang w:val="en-US"/>
        </w:rPr>
        <w:t>market design</w:t>
      </w:r>
      <w:r w:rsidR="00930AD9">
        <w:rPr>
          <w:sz w:val="20"/>
          <w:szCs w:val="20"/>
          <w:lang w:val="en-US"/>
        </w:rPr>
        <w:t>s</w:t>
      </w:r>
      <w:r w:rsidR="00930AD9" w:rsidRPr="00B31A2D">
        <w:rPr>
          <w:sz w:val="20"/>
          <w:szCs w:val="20"/>
          <w:lang w:val="en-US"/>
        </w:rPr>
        <w:t xml:space="preserve"> and</w:t>
      </w:r>
      <w:r w:rsidR="00247C87">
        <w:rPr>
          <w:sz w:val="20"/>
          <w:szCs w:val="20"/>
          <w:lang w:val="en-US"/>
        </w:rPr>
        <w:t xml:space="preserve"> </w:t>
      </w:r>
      <w:r w:rsidR="00071D8C">
        <w:rPr>
          <w:sz w:val="20"/>
          <w:szCs w:val="20"/>
          <w:lang w:val="en-US"/>
        </w:rPr>
        <w:t>adequate</w:t>
      </w:r>
      <w:r w:rsidR="002464B6">
        <w:rPr>
          <w:sz w:val="20"/>
          <w:szCs w:val="20"/>
          <w:lang w:val="en-US"/>
        </w:rPr>
        <w:t xml:space="preserve"> </w:t>
      </w:r>
      <w:r w:rsidR="00930AD9" w:rsidRPr="00B31A2D">
        <w:rPr>
          <w:sz w:val="20"/>
          <w:szCs w:val="20"/>
          <w:lang w:val="en-US"/>
        </w:rPr>
        <w:t>regulatory framework</w:t>
      </w:r>
      <w:r w:rsidR="00930AD9">
        <w:rPr>
          <w:sz w:val="20"/>
          <w:szCs w:val="20"/>
          <w:lang w:val="en-US"/>
        </w:rPr>
        <w:t>s</w:t>
      </w:r>
      <w:r w:rsidR="00930AD9" w:rsidRPr="00B31A2D">
        <w:rPr>
          <w:sz w:val="20"/>
          <w:szCs w:val="20"/>
          <w:lang w:val="en-US"/>
        </w:rPr>
        <w:t xml:space="preserve"> will be necessary to remunerate investments and sustain </w:t>
      </w:r>
      <w:r>
        <w:rPr>
          <w:sz w:val="20"/>
          <w:szCs w:val="20"/>
          <w:lang w:val="en-US"/>
        </w:rPr>
        <w:t>growth both in renewables and grids</w:t>
      </w:r>
      <w:r w:rsidR="00930AD9" w:rsidRPr="00B31A2D">
        <w:rPr>
          <w:sz w:val="20"/>
          <w:szCs w:val="20"/>
          <w:lang w:val="en-US"/>
        </w:rPr>
        <w:t>.</w:t>
      </w:r>
    </w:p>
    <w:p w14:paraId="53333C94" w14:textId="77777777" w:rsidR="00B711F7" w:rsidRDefault="00B711F7" w:rsidP="00B711F7">
      <w:pPr>
        <w:pStyle w:val="Default"/>
        <w:jc w:val="both"/>
        <w:rPr>
          <w:sz w:val="20"/>
          <w:szCs w:val="20"/>
          <w:lang w:val="en-US"/>
        </w:rPr>
      </w:pPr>
    </w:p>
    <w:p w14:paraId="6FA7D09B" w14:textId="6F682EE9" w:rsidR="00B711F7" w:rsidRPr="0009247C" w:rsidRDefault="00B711F7" w:rsidP="00B711F7">
      <w:pPr>
        <w:pStyle w:val="Default"/>
        <w:jc w:val="both"/>
        <w:rPr>
          <w:b/>
          <w:bCs/>
          <w:sz w:val="20"/>
          <w:szCs w:val="20"/>
          <w:lang w:val="en-US"/>
        </w:rPr>
      </w:pPr>
      <w:r w:rsidRPr="0009247C">
        <w:rPr>
          <w:b/>
          <w:bCs/>
          <w:sz w:val="20"/>
          <w:szCs w:val="20"/>
          <w:lang w:val="en-US"/>
        </w:rPr>
        <w:t xml:space="preserve">THE </w:t>
      </w:r>
      <w:r w:rsidR="004D6D9B" w:rsidRPr="0009247C">
        <w:rPr>
          <w:b/>
          <w:bCs/>
          <w:sz w:val="20"/>
          <w:szCs w:val="20"/>
          <w:lang w:val="en-US"/>
        </w:rPr>
        <w:t>202</w:t>
      </w:r>
      <w:r w:rsidR="004D6D9B">
        <w:rPr>
          <w:b/>
          <w:bCs/>
          <w:sz w:val="20"/>
          <w:szCs w:val="20"/>
          <w:lang w:val="en-US"/>
        </w:rPr>
        <w:t>5</w:t>
      </w:r>
      <w:r w:rsidRPr="0009247C">
        <w:rPr>
          <w:b/>
          <w:bCs/>
          <w:sz w:val="20"/>
          <w:szCs w:val="20"/>
          <w:lang w:val="en-US"/>
        </w:rPr>
        <w:t>-</w:t>
      </w:r>
      <w:r w:rsidR="004D6D9B" w:rsidRPr="0009247C">
        <w:rPr>
          <w:b/>
          <w:bCs/>
          <w:sz w:val="20"/>
          <w:szCs w:val="20"/>
          <w:lang w:val="en-US"/>
        </w:rPr>
        <w:t>202</w:t>
      </w:r>
      <w:r w:rsidR="004D6D9B">
        <w:rPr>
          <w:b/>
          <w:bCs/>
          <w:sz w:val="20"/>
          <w:szCs w:val="20"/>
          <w:lang w:val="en-US"/>
        </w:rPr>
        <w:t xml:space="preserve">7 </w:t>
      </w:r>
      <w:r>
        <w:rPr>
          <w:b/>
          <w:bCs/>
          <w:sz w:val="20"/>
          <w:szCs w:val="20"/>
          <w:lang w:val="en-US"/>
        </w:rPr>
        <w:t>STRATEGIC</w:t>
      </w:r>
      <w:r w:rsidRPr="0009247C">
        <w:rPr>
          <w:b/>
          <w:bCs/>
          <w:sz w:val="20"/>
          <w:szCs w:val="20"/>
          <w:lang w:val="en-US"/>
        </w:rPr>
        <w:t xml:space="preserve"> PLAN</w:t>
      </w:r>
    </w:p>
    <w:p w14:paraId="13FAB828" w14:textId="77777777" w:rsidR="00B711F7" w:rsidRDefault="00B711F7" w:rsidP="00B711F7">
      <w:pPr>
        <w:pStyle w:val="Default"/>
        <w:jc w:val="both"/>
        <w:rPr>
          <w:sz w:val="20"/>
          <w:szCs w:val="20"/>
          <w:lang w:val="en-US"/>
        </w:rPr>
      </w:pPr>
    </w:p>
    <w:p w14:paraId="14779519" w14:textId="30157A22" w:rsidR="00B711F7" w:rsidRDefault="00F670B7" w:rsidP="00B711F7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</w:t>
      </w:r>
      <w:r w:rsidR="00B711F7">
        <w:rPr>
          <w:sz w:val="20"/>
          <w:szCs w:val="20"/>
          <w:lang w:val="en-US"/>
        </w:rPr>
        <w:t xml:space="preserve"> its </w:t>
      </w:r>
      <w:r w:rsidR="004D6D9B">
        <w:rPr>
          <w:sz w:val="20"/>
          <w:szCs w:val="20"/>
          <w:lang w:val="en-US"/>
        </w:rPr>
        <w:t>2025</w:t>
      </w:r>
      <w:r w:rsidR="00B711F7">
        <w:rPr>
          <w:sz w:val="20"/>
          <w:szCs w:val="20"/>
          <w:lang w:val="en-US"/>
        </w:rPr>
        <w:t>-</w:t>
      </w:r>
      <w:r w:rsidR="004D6D9B">
        <w:rPr>
          <w:sz w:val="20"/>
          <w:szCs w:val="20"/>
          <w:lang w:val="en-US"/>
        </w:rPr>
        <w:t xml:space="preserve">2027 </w:t>
      </w:r>
      <w:r w:rsidR="00B711F7">
        <w:rPr>
          <w:sz w:val="20"/>
          <w:szCs w:val="20"/>
          <w:lang w:val="en-US"/>
        </w:rPr>
        <w:t>Strategic Plan</w:t>
      </w:r>
      <w:r>
        <w:rPr>
          <w:sz w:val="20"/>
          <w:szCs w:val="20"/>
          <w:lang w:val="en-US"/>
        </w:rPr>
        <w:t>, the Group confirms its focus on</w:t>
      </w:r>
      <w:r w:rsidR="00B711F7">
        <w:rPr>
          <w:sz w:val="20"/>
          <w:szCs w:val="20"/>
          <w:lang w:val="en-US"/>
        </w:rPr>
        <w:t xml:space="preserve"> three pillars:</w:t>
      </w:r>
    </w:p>
    <w:p w14:paraId="4A9FAD42" w14:textId="77777777" w:rsidR="00B711F7" w:rsidRDefault="00B711F7" w:rsidP="00B711F7">
      <w:pPr>
        <w:pStyle w:val="Default"/>
        <w:jc w:val="both"/>
        <w:rPr>
          <w:sz w:val="20"/>
          <w:szCs w:val="20"/>
          <w:lang w:val="en-US"/>
        </w:rPr>
      </w:pPr>
    </w:p>
    <w:p w14:paraId="42644EA8" w14:textId="224AE6FB" w:rsidR="00813556" w:rsidRPr="001857A0" w:rsidRDefault="00813556" w:rsidP="001857A0">
      <w:pPr>
        <w:pStyle w:val="Default"/>
        <w:numPr>
          <w:ilvl w:val="0"/>
          <w:numId w:val="42"/>
        </w:numPr>
        <w:jc w:val="both"/>
        <w:rPr>
          <w:sz w:val="20"/>
          <w:szCs w:val="20"/>
          <w:lang w:val="en-US"/>
        </w:rPr>
      </w:pPr>
      <w:r w:rsidRPr="001857A0">
        <w:rPr>
          <w:b/>
          <w:bCs/>
          <w:sz w:val="20"/>
          <w:szCs w:val="20"/>
          <w:lang w:val="en-US"/>
        </w:rPr>
        <w:t>Profitability, flexibility and resiliency</w:t>
      </w:r>
      <w:r w:rsidRPr="001857A0">
        <w:rPr>
          <w:sz w:val="20"/>
          <w:szCs w:val="20"/>
          <w:lang w:val="en-US"/>
        </w:rPr>
        <w:t xml:space="preserve"> to generate value through selective capital allocation that optimizes the risk/return profile while maintaining a flexible approach</w:t>
      </w:r>
      <w:r>
        <w:rPr>
          <w:sz w:val="20"/>
          <w:szCs w:val="20"/>
          <w:lang w:val="en-US"/>
        </w:rPr>
        <w:t>;</w:t>
      </w:r>
    </w:p>
    <w:p w14:paraId="1D2A6066" w14:textId="6D908531" w:rsidR="00813556" w:rsidRPr="001857A0" w:rsidRDefault="00813556" w:rsidP="001857A0">
      <w:pPr>
        <w:pStyle w:val="Default"/>
        <w:numPr>
          <w:ilvl w:val="0"/>
          <w:numId w:val="42"/>
        </w:numPr>
        <w:jc w:val="both"/>
        <w:rPr>
          <w:sz w:val="20"/>
          <w:szCs w:val="20"/>
          <w:lang w:val="en-US"/>
        </w:rPr>
      </w:pPr>
      <w:r w:rsidRPr="001857A0">
        <w:rPr>
          <w:b/>
          <w:bCs/>
          <w:sz w:val="20"/>
          <w:szCs w:val="20"/>
          <w:lang w:val="en-US"/>
        </w:rPr>
        <w:t>Efficiency and effectiveness</w:t>
      </w:r>
      <w:r w:rsidRPr="001857A0">
        <w:rPr>
          <w:sz w:val="20"/>
          <w:szCs w:val="20"/>
          <w:lang w:val="en-US"/>
        </w:rPr>
        <w:t xml:space="preserve"> with a continued optimization of processes, activities and portfolio of offerings, strengthening cash generation and developing innovative solutions to enhance the value of existing assets</w:t>
      </w:r>
      <w:r>
        <w:rPr>
          <w:sz w:val="20"/>
          <w:szCs w:val="20"/>
          <w:lang w:val="en-US"/>
        </w:rPr>
        <w:t>;</w:t>
      </w:r>
    </w:p>
    <w:p w14:paraId="7DC0D99B" w14:textId="7FFA1266" w:rsidR="00813556" w:rsidRPr="001857A0" w:rsidRDefault="00813556" w:rsidP="001857A0">
      <w:pPr>
        <w:pStyle w:val="Default"/>
        <w:numPr>
          <w:ilvl w:val="0"/>
          <w:numId w:val="42"/>
        </w:numPr>
        <w:jc w:val="both"/>
        <w:rPr>
          <w:b/>
          <w:bCs/>
          <w:sz w:val="20"/>
          <w:szCs w:val="20"/>
          <w:lang w:val="en-US"/>
        </w:rPr>
      </w:pPr>
      <w:r w:rsidRPr="001857A0">
        <w:rPr>
          <w:b/>
          <w:bCs/>
          <w:sz w:val="20"/>
          <w:szCs w:val="20"/>
          <w:lang w:val="en-US"/>
        </w:rPr>
        <w:t>Financial and environmental</w:t>
      </w:r>
      <w:r w:rsidRPr="001857A0">
        <w:rPr>
          <w:sz w:val="20"/>
          <w:szCs w:val="20"/>
          <w:lang w:val="en-US"/>
        </w:rPr>
        <w:t xml:space="preserve"> </w:t>
      </w:r>
      <w:r w:rsidRPr="001857A0">
        <w:rPr>
          <w:b/>
          <w:bCs/>
          <w:sz w:val="20"/>
          <w:szCs w:val="20"/>
          <w:lang w:val="en-US"/>
        </w:rPr>
        <w:t xml:space="preserve">sustainability </w:t>
      </w:r>
      <w:r w:rsidRPr="001857A0">
        <w:rPr>
          <w:sz w:val="20"/>
          <w:szCs w:val="20"/>
          <w:lang w:val="en-US"/>
        </w:rPr>
        <w:t>to maintain a solid structure, ensuring the flexibility required for growth and addressing the challenges posed by climate change</w:t>
      </w:r>
      <w:r>
        <w:rPr>
          <w:sz w:val="20"/>
          <w:szCs w:val="20"/>
          <w:lang w:val="en-US"/>
        </w:rPr>
        <w:t>.</w:t>
      </w:r>
    </w:p>
    <w:p w14:paraId="43DADF02" w14:textId="77777777" w:rsidR="00B711F7" w:rsidRDefault="00B711F7" w:rsidP="00B711F7">
      <w:pPr>
        <w:pStyle w:val="Default"/>
        <w:jc w:val="both"/>
        <w:rPr>
          <w:b/>
          <w:bCs/>
          <w:sz w:val="20"/>
          <w:szCs w:val="20"/>
          <w:lang w:val="en-US"/>
        </w:rPr>
      </w:pPr>
    </w:p>
    <w:p w14:paraId="3EAA394D" w14:textId="77777777" w:rsidR="00B711F7" w:rsidRDefault="00B711F7" w:rsidP="00B711F7">
      <w:pPr>
        <w:pStyle w:val="Default"/>
        <w:jc w:val="both"/>
        <w:rPr>
          <w:b/>
          <w:bCs/>
          <w:sz w:val="20"/>
          <w:szCs w:val="20"/>
          <w:lang w:val="en-US"/>
        </w:rPr>
      </w:pPr>
    </w:p>
    <w:p w14:paraId="23651631" w14:textId="77777777" w:rsidR="00B711F7" w:rsidRDefault="00B711F7" w:rsidP="00B711F7">
      <w:pPr>
        <w:pStyle w:val="Default"/>
        <w:numPr>
          <w:ilvl w:val="0"/>
          <w:numId w:val="25"/>
        </w:numPr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P</w:t>
      </w:r>
      <w:r w:rsidRPr="00562403">
        <w:rPr>
          <w:b/>
          <w:bCs/>
          <w:sz w:val="20"/>
          <w:szCs w:val="20"/>
          <w:lang w:val="en-US"/>
        </w:rPr>
        <w:t>rofitability, flexibility and resiliency</w:t>
      </w:r>
      <w:r w:rsidRPr="00412F85">
        <w:rPr>
          <w:sz w:val="20"/>
          <w:szCs w:val="20"/>
          <w:lang w:val="en-US"/>
        </w:rPr>
        <w:t xml:space="preserve"> </w:t>
      </w:r>
    </w:p>
    <w:p w14:paraId="781119C2" w14:textId="77777777" w:rsidR="00B711F7" w:rsidRDefault="00B711F7" w:rsidP="00B711F7">
      <w:pPr>
        <w:pStyle w:val="Default"/>
        <w:jc w:val="both"/>
        <w:rPr>
          <w:sz w:val="20"/>
          <w:szCs w:val="20"/>
          <w:lang w:val="en-US"/>
        </w:rPr>
      </w:pPr>
    </w:p>
    <w:p w14:paraId="69368601" w14:textId="4DD39B1D" w:rsidR="004B6EDF" w:rsidRDefault="00B711F7" w:rsidP="004B6EDF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Between </w:t>
      </w:r>
      <w:r w:rsidR="002D4F13">
        <w:rPr>
          <w:sz w:val="20"/>
          <w:szCs w:val="20"/>
          <w:lang w:val="en-US"/>
        </w:rPr>
        <w:t xml:space="preserve">2025 </w:t>
      </w:r>
      <w:r>
        <w:rPr>
          <w:sz w:val="20"/>
          <w:szCs w:val="20"/>
          <w:lang w:val="en-US"/>
        </w:rPr>
        <w:t xml:space="preserve">and </w:t>
      </w:r>
      <w:r w:rsidR="002D4F13">
        <w:rPr>
          <w:sz w:val="20"/>
          <w:szCs w:val="20"/>
          <w:lang w:val="en-US"/>
        </w:rPr>
        <w:t>2027</w:t>
      </w:r>
      <w:r>
        <w:rPr>
          <w:rFonts w:eastAsia="Calibri"/>
          <w:sz w:val="20"/>
          <w:szCs w:val="20"/>
          <w:lang w:val="en-US" w:eastAsia="en-US"/>
        </w:rPr>
        <w:t xml:space="preserve">, </w:t>
      </w:r>
      <w:r>
        <w:rPr>
          <w:rFonts w:eastAsia="Calibri"/>
          <w:b/>
          <w:bCs/>
          <w:sz w:val="20"/>
          <w:szCs w:val="20"/>
          <w:lang w:val="en-US" w:eastAsia="en-US"/>
        </w:rPr>
        <w:t>the Group</w:t>
      </w:r>
      <w:r w:rsidRPr="00E45C92">
        <w:rPr>
          <w:rFonts w:eastAsia="Calibri"/>
          <w:b/>
          <w:bCs/>
          <w:sz w:val="20"/>
          <w:szCs w:val="20"/>
          <w:lang w:val="en-US" w:eastAsia="en-US"/>
        </w:rPr>
        <w:t xml:space="preserve"> </w:t>
      </w:r>
      <w:r>
        <w:rPr>
          <w:rFonts w:eastAsia="Calibri"/>
          <w:b/>
          <w:bCs/>
          <w:sz w:val="20"/>
          <w:szCs w:val="20"/>
          <w:lang w:val="en-US" w:eastAsia="en-US"/>
        </w:rPr>
        <w:t>has planned a total gross capex of approximately</w:t>
      </w:r>
      <w:r w:rsidRPr="00E45C92">
        <w:rPr>
          <w:rFonts w:eastAsia="Calibri"/>
          <w:b/>
          <w:bCs/>
          <w:sz w:val="20"/>
          <w:szCs w:val="20"/>
          <w:lang w:val="en-US" w:eastAsia="en-US"/>
        </w:rPr>
        <w:t xml:space="preserve"> </w:t>
      </w:r>
      <w:r w:rsidR="002D4F13">
        <w:rPr>
          <w:rFonts w:eastAsia="Calibri"/>
          <w:b/>
          <w:bCs/>
          <w:sz w:val="20"/>
          <w:szCs w:val="20"/>
          <w:lang w:val="en-US" w:eastAsia="en-US"/>
        </w:rPr>
        <w:t>43</w:t>
      </w:r>
      <w:r w:rsidRPr="00E45C92">
        <w:rPr>
          <w:rFonts w:eastAsia="Calibri"/>
          <w:b/>
          <w:bCs/>
          <w:sz w:val="20"/>
          <w:szCs w:val="20"/>
          <w:lang w:val="en-US" w:eastAsia="en-US"/>
        </w:rPr>
        <w:t xml:space="preserve"> billion euros</w:t>
      </w:r>
      <w:r w:rsidR="000B3D39" w:rsidRPr="007C6DF6">
        <w:rPr>
          <w:rFonts w:eastAsia="Calibri"/>
          <w:sz w:val="20"/>
          <w:szCs w:val="20"/>
          <w:lang w:val="en-US" w:eastAsia="en-US"/>
        </w:rPr>
        <w:t>,</w:t>
      </w:r>
      <w:r w:rsidR="003E47A9">
        <w:rPr>
          <w:rFonts w:eastAsia="Calibri"/>
          <w:sz w:val="20"/>
          <w:szCs w:val="20"/>
          <w:lang w:val="en-US" w:eastAsia="en-US"/>
        </w:rPr>
        <w:t xml:space="preserve"> </w:t>
      </w:r>
      <w:r w:rsidR="003E47A9" w:rsidRPr="007C6DF6">
        <w:rPr>
          <w:rFonts w:eastAsia="Calibri"/>
          <w:sz w:val="20"/>
          <w:szCs w:val="20"/>
          <w:lang w:val="en-US" w:eastAsia="en-US"/>
        </w:rPr>
        <w:t xml:space="preserve">an </w:t>
      </w:r>
      <w:r w:rsidR="003E47A9" w:rsidRPr="00910552">
        <w:rPr>
          <w:rFonts w:eastAsia="Calibri"/>
          <w:b/>
          <w:bCs/>
          <w:sz w:val="20"/>
          <w:szCs w:val="20"/>
          <w:lang w:val="en-US" w:eastAsia="en-US"/>
        </w:rPr>
        <w:t>increase</w:t>
      </w:r>
      <w:r w:rsidR="003E47A9" w:rsidRPr="007C6DF6">
        <w:rPr>
          <w:rFonts w:eastAsia="Calibri"/>
          <w:sz w:val="20"/>
          <w:szCs w:val="20"/>
          <w:lang w:val="en-US" w:eastAsia="en-US"/>
        </w:rPr>
        <w:t xml:space="preserve"> of around</w:t>
      </w:r>
      <w:r w:rsidR="003E47A9" w:rsidRPr="009965AB">
        <w:rPr>
          <w:rFonts w:eastAsia="Calibri"/>
          <w:b/>
          <w:bCs/>
          <w:sz w:val="20"/>
          <w:szCs w:val="20"/>
          <w:lang w:val="en-US" w:eastAsia="en-US"/>
        </w:rPr>
        <w:t xml:space="preserve"> </w:t>
      </w:r>
      <w:r w:rsidR="003E47A9" w:rsidRPr="007C6DF6">
        <w:rPr>
          <w:rFonts w:eastAsia="Calibri"/>
          <w:b/>
          <w:bCs/>
          <w:sz w:val="20"/>
          <w:szCs w:val="20"/>
          <w:lang w:val="en-US" w:eastAsia="en-US"/>
        </w:rPr>
        <w:t>7 billion euros</w:t>
      </w:r>
      <w:r w:rsidR="003E47A9" w:rsidRPr="009965AB">
        <w:rPr>
          <w:rFonts w:eastAsia="Calibri"/>
          <w:sz w:val="20"/>
          <w:szCs w:val="20"/>
          <w:lang w:val="en-US" w:eastAsia="en-US"/>
        </w:rPr>
        <w:t xml:space="preserve"> on the previous Strategic Plan</w:t>
      </w:r>
      <w:r w:rsidR="003E47A9">
        <w:rPr>
          <w:rFonts w:eastAsia="Calibri"/>
          <w:sz w:val="20"/>
          <w:szCs w:val="20"/>
          <w:lang w:val="en-US" w:eastAsia="en-US"/>
        </w:rPr>
        <w:t>,</w:t>
      </w:r>
      <w:r w:rsidR="002D4F13">
        <w:rPr>
          <w:rFonts w:eastAsia="Calibri"/>
          <w:b/>
          <w:bCs/>
          <w:sz w:val="20"/>
          <w:szCs w:val="20"/>
          <w:lang w:val="en-US" w:eastAsia="en-US"/>
        </w:rPr>
        <w:t xml:space="preserve"> </w:t>
      </w:r>
      <w:r w:rsidR="002D4F13">
        <w:rPr>
          <w:rFonts w:eastAsia="Calibri"/>
          <w:sz w:val="20"/>
          <w:szCs w:val="20"/>
          <w:lang w:val="en-US" w:eastAsia="en-US"/>
        </w:rPr>
        <w:t>allocated to</w:t>
      </w:r>
      <w:r w:rsidR="00C408CA">
        <w:rPr>
          <w:rFonts w:eastAsia="Calibri"/>
          <w:sz w:val="20"/>
          <w:szCs w:val="20"/>
          <w:lang w:val="en-US" w:eastAsia="en-US"/>
        </w:rPr>
        <w:t xml:space="preserve"> geographies </w:t>
      </w:r>
      <w:r w:rsidR="001145E7">
        <w:rPr>
          <w:rFonts w:eastAsia="Calibri"/>
          <w:sz w:val="20"/>
          <w:szCs w:val="20"/>
          <w:lang w:val="en-US" w:eastAsia="en-US"/>
        </w:rPr>
        <w:t>in proportion to</w:t>
      </w:r>
      <w:r w:rsidR="0028400E">
        <w:rPr>
          <w:rFonts w:eastAsia="Calibri"/>
          <w:sz w:val="20"/>
          <w:szCs w:val="20"/>
          <w:lang w:val="en-US" w:eastAsia="en-US"/>
        </w:rPr>
        <w:t xml:space="preserve"> their</w:t>
      </w:r>
      <w:r w:rsidR="000726D4">
        <w:rPr>
          <w:rFonts w:eastAsia="Calibri"/>
          <w:sz w:val="20"/>
          <w:szCs w:val="20"/>
          <w:lang w:val="en-US" w:eastAsia="en-US"/>
        </w:rPr>
        <w:t xml:space="preserve"> </w:t>
      </w:r>
      <w:r w:rsidR="002D4F13">
        <w:rPr>
          <w:rFonts w:eastAsia="Calibri"/>
          <w:sz w:val="20"/>
          <w:szCs w:val="20"/>
          <w:lang w:val="en-US" w:eastAsia="en-US"/>
        </w:rPr>
        <w:t>EBITDA contribution</w:t>
      </w:r>
      <w:r w:rsidR="00136CEB">
        <w:rPr>
          <w:rFonts w:eastAsia="Calibri"/>
          <w:sz w:val="20"/>
          <w:szCs w:val="20"/>
          <w:lang w:val="en-US" w:eastAsia="en-US"/>
        </w:rPr>
        <w:t xml:space="preserve">. </w:t>
      </w:r>
      <w:r w:rsidR="002652EF">
        <w:rPr>
          <w:rFonts w:eastAsia="Calibri"/>
          <w:sz w:val="20"/>
          <w:szCs w:val="20"/>
          <w:lang w:val="en-US" w:eastAsia="en-US"/>
        </w:rPr>
        <w:t>T</w:t>
      </w:r>
      <w:r w:rsidR="00862EF9">
        <w:rPr>
          <w:rFonts w:eastAsia="Calibri"/>
          <w:sz w:val="20"/>
          <w:szCs w:val="20"/>
          <w:lang w:val="en-US" w:eastAsia="en-US"/>
        </w:rPr>
        <w:t>he main</w:t>
      </w:r>
      <w:r w:rsidR="002652EF">
        <w:rPr>
          <w:rFonts w:eastAsia="Calibri"/>
          <w:sz w:val="20"/>
          <w:szCs w:val="20"/>
          <w:lang w:val="en-US" w:eastAsia="en-US"/>
        </w:rPr>
        <w:t xml:space="preserve"> </w:t>
      </w:r>
      <w:r w:rsidR="00224263">
        <w:rPr>
          <w:rFonts w:eastAsia="Calibri"/>
          <w:sz w:val="20"/>
          <w:szCs w:val="20"/>
          <w:lang w:val="en-US" w:eastAsia="en-US"/>
        </w:rPr>
        <w:t xml:space="preserve">areas for </w:t>
      </w:r>
      <w:r w:rsidR="002652EF">
        <w:rPr>
          <w:rFonts w:eastAsia="Calibri"/>
          <w:sz w:val="20"/>
          <w:szCs w:val="20"/>
          <w:lang w:val="en-US" w:eastAsia="en-US"/>
        </w:rPr>
        <w:t>investment</w:t>
      </w:r>
      <w:r w:rsidR="00862EF9">
        <w:rPr>
          <w:rFonts w:eastAsia="Calibri"/>
          <w:sz w:val="20"/>
          <w:szCs w:val="20"/>
          <w:lang w:val="en-US" w:eastAsia="en-US"/>
        </w:rPr>
        <w:t xml:space="preserve"> </w:t>
      </w:r>
      <w:r w:rsidR="00D86FB8">
        <w:rPr>
          <w:rFonts w:eastAsia="Calibri"/>
          <w:sz w:val="20"/>
          <w:szCs w:val="20"/>
          <w:lang w:val="en-US" w:eastAsia="en-US"/>
        </w:rPr>
        <w:t>will be</w:t>
      </w:r>
      <w:r w:rsidR="004B6EDF">
        <w:rPr>
          <w:rFonts w:eastAsia="Calibri"/>
          <w:sz w:val="20"/>
          <w:szCs w:val="20"/>
          <w:lang w:val="en-US" w:eastAsia="en-US"/>
        </w:rPr>
        <w:t xml:space="preserve">: </w:t>
      </w:r>
    </w:p>
    <w:p w14:paraId="3F49CED7" w14:textId="77777777" w:rsidR="004B6EDF" w:rsidRDefault="004B6EDF" w:rsidP="004B6EDF">
      <w:pPr>
        <w:pStyle w:val="Default"/>
        <w:jc w:val="both"/>
        <w:rPr>
          <w:sz w:val="20"/>
          <w:szCs w:val="20"/>
          <w:lang w:val="en-US"/>
        </w:rPr>
      </w:pPr>
    </w:p>
    <w:p w14:paraId="09437E10" w14:textId="4A19C44B" w:rsidR="00B711F7" w:rsidRDefault="00B711F7" w:rsidP="004B6EDF">
      <w:pPr>
        <w:pStyle w:val="Default"/>
        <w:numPr>
          <w:ilvl w:val="0"/>
          <w:numId w:val="27"/>
        </w:numPr>
        <w:jc w:val="both"/>
        <w:rPr>
          <w:sz w:val="20"/>
          <w:szCs w:val="20"/>
          <w:lang w:val="en-US"/>
        </w:rPr>
      </w:pPr>
      <w:r w:rsidRPr="00E375AF">
        <w:rPr>
          <w:b/>
          <w:bCs/>
          <w:sz w:val="20"/>
          <w:szCs w:val="20"/>
          <w:lang w:val="en-US"/>
        </w:rPr>
        <w:t>Europe</w:t>
      </w:r>
      <w:r w:rsidRPr="00E375AF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  <w:r w:rsidR="00757BE5">
        <w:rPr>
          <w:sz w:val="20"/>
          <w:szCs w:val="20"/>
          <w:lang w:val="en-US"/>
        </w:rPr>
        <w:t>with</w:t>
      </w:r>
      <w:r w:rsidR="009845AF">
        <w:rPr>
          <w:b/>
          <w:bCs/>
          <w:sz w:val="20"/>
          <w:szCs w:val="20"/>
          <w:lang w:val="en-US"/>
        </w:rPr>
        <w:t xml:space="preserve"> </w:t>
      </w:r>
      <w:r w:rsidR="00455984">
        <w:rPr>
          <w:b/>
          <w:bCs/>
          <w:sz w:val="20"/>
          <w:szCs w:val="20"/>
          <w:lang w:val="en-US"/>
        </w:rPr>
        <w:t>about</w:t>
      </w:r>
      <w:r w:rsidR="00517DA5" w:rsidRPr="00E3314A">
        <w:rPr>
          <w:b/>
          <w:bCs/>
          <w:sz w:val="20"/>
          <w:szCs w:val="20"/>
          <w:lang w:val="en-US"/>
        </w:rPr>
        <w:t xml:space="preserve"> 75% of </w:t>
      </w:r>
      <w:r w:rsidR="00757BE5">
        <w:rPr>
          <w:b/>
          <w:bCs/>
          <w:sz w:val="20"/>
          <w:szCs w:val="20"/>
          <w:lang w:val="en-US"/>
        </w:rPr>
        <w:t xml:space="preserve">the </w:t>
      </w:r>
      <w:r w:rsidR="00517DA5" w:rsidRPr="00E3314A">
        <w:rPr>
          <w:b/>
          <w:bCs/>
          <w:sz w:val="20"/>
          <w:szCs w:val="20"/>
          <w:lang w:val="en-US"/>
        </w:rPr>
        <w:t>overall gross capex</w:t>
      </w:r>
      <w:r>
        <w:rPr>
          <w:sz w:val="20"/>
          <w:szCs w:val="20"/>
          <w:lang w:val="en-US"/>
        </w:rPr>
        <w:t>;</w:t>
      </w:r>
    </w:p>
    <w:p w14:paraId="7D47D685" w14:textId="6D0DC3FC" w:rsidR="00B711F7" w:rsidRDefault="00B711F7" w:rsidP="00B711F7">
      <w:pPr>
        <w:pStyle w:val="Default"/>
        <w:numPr>
          <w:ilvl w:val="0"/>
          <w:numId w:val="27"/>
        </w:numPr>
        <w:jc w:val="both"/>
        <w:rPr>
          <w:sz w:val="20"/>
          <w:szCs w:val="20"/>
          <w:lang w:val="en-US"/>
        </w:rPr>
      </w:pPr>
      <w:r w:rsidRPr="00E375AF">
        <w:rPr>
          <w:b/>
          <w:bCs/>
          <w:sz w:val="20"/>
          <w:szCs w:val="20"/>
          <w:lang w:val="en-US"/>
        </w:rPr>
        <w:t xml:space="preserve">Latin </w:t>
      </w:r>
      <w:r w:rsidR="001857A0">
        <w:rPr>
          <w:sz w:val="20"/>
          <w:szCs w:val="20"/>
          <w:lang w:val="en-US"/>
        </w:rPr>
        <w:t xml:space="preserve">and </w:t>
      </w:r>
      <w:r w:rsidR="001857A0">
        <w:rPr>
          <w:b/>
          <w:bCs/>
          <w:sz w:val="20"/>
          <w:szCs w:val="20"/>
          <w:lang w:val="en-US"/>
        </w:rPr>
        <w:t xml:space="preserve">North </w:t>
      </w:r>
      <w:r w:rsidRPr="00E375AF">
        <w:rPr>
          <w:b/>
          <w:bCs/>
          <w:sz w:val="20"/>
          <w:szCs w:val="20"/>
          <w:lang w:val="en-US"/>
        </w:rPr>
        <w:t>America</w:t>
      </w:r>
      <w:r>
        <w:rPr>
          <w:sz w:val="20"/>
          <w:szCs w:val="20"/>
          <w:lang w:val="en-US"/>
        </w:rPr>
        <w:t>,</w:t>
      </w:r>
      <w:r w:rsidR="00D86FB8">
        <w:rPr>
          <w:sz w:val="20"/>
          <w:szCs w:val="20"/>
          <w:lang w:val="en-US"/>
        </w:rPr>
        <w:t xml:space="preserve"> </w:t>
      </w:r>
      <w:r w:rsidR="00757BE5">
        <w:rPr>
          <w:sz w:val="20"/>
          <w:szCs w:val="20"/>
          <w:lang w:val="en-US"/>
        </w:rPr>
        <w:t xml:space="preserve">with </w:t>
      </w:r>
      <w:r w:rsidR="001857A0" w:rsidRPr="00124644">
        <w:rPr>
          <w:b/>
          <w:bCs/>
          <w:sz w:val="20"/>
          <w:szCs w:val="20"/>
          <w:lang w:val="en-US"/>
        </w:rPr>
        <w:t>around 25%</w:t>
      </w:r>
      <w:r w:rsidR="001857A0">
        <w:rPr>
          <w:sz w:val="20"/>
          <w:szCs w:val="20"/>
          <w:lang w:val="en-US"/>
        </w:rPr>
        <w:t xml:space="preserve"> </w:t>
      </w:r>
      <w:r w:rsidRPr="00C00C63">
        <w:rPr>
          <w:b/>
          <w:bCs/>
          <w:sz w:val="20"/>
          <w:szCs w:val="20"/>
          <w:lang w:val="en-US"/>
        </w:rPr>
        <w:t xml:space="preserve">of </w:t>
      </w:r>
      <w:r w:rsidR="00757BE5">
        <w:rPr>
          <w:b/>
          <w:bCs/>
          <w:sz w:val="20"/>
          <w:szCs w:val="20"/>
          <w:lang w:val="en-US"/>
        </w:rPr>
        <w:t>the</w:t>
      </w:r>
      <w:r w:rsidR="00757BE5" w:rsidRPr="00C00C63">
        <w:rPr>
          <w:b/>
          <w:bCs/>
          <w:sz w:val="20"/>
          <w:szCs w:val="20"/>
          <w:lang w:val="en-US"/>
        </w:rPr>
        <w:t xml:space="preserve"> </w:t>
      </w:r>
      <w:r w:rsidRPr="00C00C63">
        <w:rPr>
          <w:b/>
          <w:bCs/>
          <w:sz w:val="20"/>
          <w:szCs w:val="20"/>
          <w:lang w:val="en-US"/>
        </w:rPr>
        <w:t>overall gross capex</w:t>
      </w:r>
      <w:r w:rsidR="001857A0" w:rsidRPr="00124644">
        <w:rPr>
          <w:sz w:val="20"/>
          <w:szCs w:val="20"/>
          <w:lang w:val="en-US"/>
        </w:rPr>
        <w:t>.</w:t>
      </w:r>
      <w:r w:rsidRPr="00E375AF">
        <w:rPr>
          <w:sz w:val="20"/>
          <w:szCs w:val="20"/>
          <w:lang w:val="en-US"/>
        </w:rPr>
        <w:t xml:space="preserve"> </w:t>
      </w:r>
    </w:p>
    <w:p w14:paraId="29B515DC" w14:textId="77777777" w:rsidR="00C455C8" w:rsidRDefault="00C455C8" w:rsidP="00B711F7">
      <w:pPr>
        <w:pStyle w:val="Default"/>
        <w:ind w:left="360"/>
        <w:jc w:val="both"/>
        <w:rPr>
          <w:sz w:val="20"/>
          <w:szCs w:val="20"/>
          <w:lang w:val="en-US"/>
        </w:rPr>
      </w:pPr>
    </w:p>
    <w:p w14:paraId="1BBBC0BD" w14:textId="77777777" w:rsidR="00B711F7" w:rsidRPr="00BE7F70" w:rsidRDefault="00B711F7" w:rsidP="00B711F7">
      <w:pPr>
        <w:pStyle w:val="Default"/>
        <w:jc w:val="both"/>
        <w:rPr>
          <w:i/>
          <w:iCs/>
          <w:sz w:val="20"/>
          <w:szCs w:val="20"/>
          <w:lang w:val="en-US"/>
        </w:rPr>
      </w:pPr>
      <w:r w:rsidRPr="00BE7F70">
        <w:rPr>
          <w:i/>
          <w:iCs/>
          <w:sz w:val="20"/>
          <w:szCs w:val="20"/>
          <w:lang w:val="en-US"/>
        </w:rPr>
        <w:t>Grids</w:t>
      </w:r>
    </w:p>
    <w:p w14:paraId="0CDDDBA5" w14:textId="77777777" w:rsidR="00B711F7" w:rsidRDefault="00B711F7" w:rsidP="00B711F7">
      <w:pPr>
        <w:pStyle w:val="Default"/>
        <w:jc w:val="both"/>
        <w:rPr>
          <w:sz w:val="20"/>
          <w:szCs w:val="20"/>
          <w:lang w:val="en-US"/>
        </w:rPr>
      </w:pPr>
    </w:p>
    <w:p w14:paraId="3F16E20E" w14:textId="30BAFF96" w:rsidR="00D85719" w:rsidRDefault="0077780F" w:rsidP="00796C8B">
      <w:pPr>
        <w:pStyle w:val="Default"/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In the</w:t>
      </w:r>
      <w:r w:rsidRPr="00B842F6">
        <w:rPr>
          <w:b/>
          <w:bCs/>
          <w:sz w:val="20"/>
          <w:szCs w:val="20"/>
          <w:lang w:val="en-US"/>
        </w:rPr>
        <w:t xml:space="preserve"> 202</w:t>
      </w:r>
      <w:r>
        <w:rPr>
          <w:b/>
          <w:bCs/>
          <w:sz w:val="20"/>
          <w:szCs w:val="20"/>
          <w:lang w:val="en-US"/>
        </w:rPr>
        <w:t>5-</w:t>
      </w:r>
      <w:r w:rsidRPr="00B842F6">
        <w:rPr>
          <w:b/>
          <w:bCs/>
          <w:sz w:val="20"/>
          <w:szCs w:val="20"/>
          <w:lang w:val="en-US"/>
        </w:rPr>
        <w:t>202</w:t>
      </w:r>
      <w:r>
        <w:rPr>
          <w:b/>
          <w:bCs/>
          <w:sz w:val="20"/>
          <w:szCs w:val="20"/>
          <w:lang w:val="en-US"/>
        </w:rPr>
        <w:t xml:space="preserve">7 Plan, </w:t>
      </w:r>
      <w:r w:rsidR="00B711F7">
        <w:rPr>
          <w:b/>
          <w:bCs/>
          <w:sz w:val="20"/>
          <w:szCs w:val="20"/>
          <w:lang w:val="en-US"/>
        </w:rPr>
        <w:t>gross capex</w:t>
      </w:r>
      <w:r>
        <w:rPr>
          <w:b/>
          <w:bCs/>
          <w:sz w:val="20"/>
          <w:szCs w:val="20"/>
          <w:lang w:val="en-US"/>
        </w:rPr>
        <w:t xml:space="preserve"> in Grids is expected to amount</w:t>
      </w:r>
      <w:r w:rsidR="00B711F7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 xml:space="preserve">to </w:t>
      </w:r>
      <w:r w:rsidR="00B711F7">
        <w:rPr>
          <w:b/>
          <w:bCs/>
          <w:sz w:val="20"/>
          <w:szCs w:val="20"/>
          <w:lang w:val="en-US"/>
        </w:rPr>
        <w:t>approximately</w:t>
      </w:r>
      <w:r w:rsidR="00B711F7" w:rsidRPr="00402078">
        <w:rPr>
          <w:b/>
          <w:bCs/>
          <w:sz w:val="20"/>
          <w:szCs w:val="20"/>
          <w:lang w:val="en-US"/>
        </w:rPr>
        <w:t xml:space="preserve"> </w:t>
      </w:r>
      <w:r w:rsidR="00AE24DD">
        <w:rPr>
          <w:b/>
          <w:bCs/>
          <w:sz w:val="20"/>
          <w:szCs w:val="20"/>
          <w:lang w:val="en-US"/>
        </w:rPr>
        <w:t>26</w:t>
      </w:r>
      <w:r w:rsidR="00B711F7" w:rsidRPr="00402078">
        <w:rPr>
          <w:b/>
          <w:bCs/>
          <w:sz w:val="20"/>
          <w:szCs w:val="20"/>
          <w:lang w:val="en-US"/>
        </w:rPr>
        <w:t xml:space="preserve"> billion euros</w:t>
      </w:r>
      <w:r w:rsidR="00B711F7" w:rsidRPr="000F27E7">
        <w:rPr>
          <w:b/>
          <w:bCs/>
          <w:sz w:val="20"/>
          <w:szCs w:val="20"/>
          <w:lang w:val="en-US"/>
        </w:rPr>
        <w:t>,</w:t>
      </w:r>
      <w:r w:rsidR="00AE24DD">
        <w:rPr>
          <w:sz w:val="20"/>
          <w:szCs w:val="20"/>
          <w:lang w:val="en-US"/>
        </w:rPr>
        <w:t xml:space="preserve"> a</w:t>
      </w:r>
      <w:r w:rsidR="002367E8">
        <w:rPr>
          <w:sz w:val="20"/>
          <w:szCs w:val="20"/>
          <w:lang w:val="en-US"/>
        </w:rPr>
        <w:t xml:space="preserve">n increase of </w:t>
      </w:r>
      <w:r w:rsidR="00AE24DD">
        <w:rPr>
          <w:sz w:val="20"/>
          <w:szCs w:val="20"/>
          <w:lang w:val="en-US"/>
        </w:rPr>
        <w:t>40% compared with the previous</w:t>
      </w:r>
      <w:r w:rsidR="004C4737">
        <w:rPr>
          <w:sz w:val="20"/>
          <w:szCs w:val="20"/>
          <w:lang w:val="en-US"/>
        </w:rPr>
        <w:t xml:space="preserve"> </w:t>
      </w:r>
      <w:r w:rsidR="00AE24DD">
        <w:rPr>
          <w:sz w:val="20"/>
          <w:szCs w:val="20"/>
          <w:lang w:val="en-US"/>
        </w:rPr>
        <w:t>Plan</w:t>
      </w:r>
      <w:r w:rsidR="00B711F7">
        <w:rPr>
          <w:sz w:val="20"/>
          <w:szCs w:val="20"/>
          <w:lang w:val="en-US"/>
        </w:rPr>
        <w:t>.</w:t>
      </w:r>
      <w:r w:rsidR="008B05A7">
        <w:rPr>
          <w:sz w:val="20"/>
          <w:szCs w:val="20"/>
          <w:lang w:val="en-US"/>
        </w:rPr>
        <w:t xml:space="preserve"> </w:t>
      </w:r>
      <w:r w:rsidR="00A118A0">
        <w:rPr>
          <w:sz w:val="20"/>
          <w:szCs w:val="20"/>
          <w:lang w:val="en-US"/>
        </w:rPr>
        <w:t xml:space="preserve">Out of the total capex in Grids, </w:t>
      </w:r>
      <w:r w:rsidR="001857A0">
        <w:rPr>
          <w:sz w:val="20"/>
          <w:szCs w:val="20"/>
          <w:lang w:val="en-US"/>
        </w:rPr>
        <w:t>a</w:t>
      </w:r>
      <w:r w:rsidR="00E610CE">
        <w:rPr>
          <w:sz w:val="20"/>
          <w:szCs w:val="20"/>
          <w:lang w:val="en-US"/>
        </w:rPr>
        <w:t>round</w:t>
      </w:r>
      <w:r w:rsidR="00346F65">
        <w:rPr>
          <w:sz w:val="20"/>
          <w:szCs w:val="20"/>
          <w:lang w:val="en-US"/>
        </w:rPr>
        <w:t xml:space="preserve"> </w:t>
      </w:r>
      <w:r w:rsidR="00346F65" w:rsidRPr="00346F65">
        <w:rPr>
          <w:sz w:val="20"/>
          <w:szCs w:val="20"/>
          <w:lang w:val="en-US"/>
        </w:rPr>
        <w:t>78%</w:t>
      </w:r>
      <w:r w:rsidR="00346F65" w:rsidRPr="00796C8B">
        <w:rPr>
          <w:sz w:val="20"/>
          <w:szCs w:val="20"/>
          <w:lang w:val="en-US"/>
        </w:rPr>
        <w:t xml:space="preserve"> </w:t>
      </w:r>
      <w:r w:rsidR="00346F65">
        <w:rPr>
          <w:sz w:val="20"/>
          <w:szCs w:val="20"/>
          <w:lang w:val="en-US"/>
        </w:rPr>
        <w:t xml:space="preserve">is expected to </w:t>
      </w:r>
      <w:r w:rsidR="00346F65" w:rsidRPr="00796C8B">
        <w:rPr>
          <w:sz w:val="20"/>
          <w:szCs w:val="20"/>
          <w:lang w:val="en-US"/>
        </w:rPr>
        <w:t xml:space="preserve">be </w:t>
      </w:r>
      <w:r w:rsidR="00D355FE">
        <w:rPr>
          <w:sz w:val="20"/>
          <w:szCs w:val="20"/>
          <w:lang w:val="en-US"/>
        </w:rPr>
        <w:t>allocated</w:t>
      </w:r>
      <w:r w:rsidR="00D355FE" w:rsidRPr="00796C8B">
        <w:rPr>
          <w:sz w:val="20"/>
          <w:szCs w:val="20"/>
          <w:lang w:val="en-US"/>
        </w:rPr>
        <w:t xml:space="preserve"> </w:t>
      </w:r>
      <w:r w:rsidR="00346F65" w:rsidRPr="00796C8B">
        <w:rPr>
          <w:sz w:val="20"/>
          <w:szCs w:val="20"/>
          <w:lang w:val="en-US"/>
        </w:rPr>
        <w:t>in Italy and Spai</w:t>
      </w:r>
      <w:r w:rsidR="00346F65">
        <w:rPr>
          <w:sz w:val="20"/>
          <w:szCs w:val="20"/>
          <w:lang w:val="en-US"/>
        </w:rPr>
        <w:t>n, countries characterized by regulatory frameworks</w:t>
      </w:r>
      <w:r w:rsidR="003C7868">
        <w:rPr>
          <w:sz w:val="20"/>
          <w:szCs w:val="20"/>
          <w:lang w:val="en-US"/>
        </w:rPr>
        <w:t xml:space="preserve"> that </w:t>
      </w:r>
      <w:r w:rsidR="00D355FE">
        <w:rPr>
          <w:sz w:val="20"/>
          <w:szCs w:val="20"/>
          <w:lang w:val="en-US"/>
        </w:rPr>
        <w:t xml:space="preserve">can </w:t>
      </w:r>
      <w:r w:rsidR="00D355FE">
        <w:rPr>
          <w:sz w:val="20"/>
          <w:szCs w:val="20"/>
          <w:lang w:val="en-US"/>
        </w:rPr>
        <w:lastRenderedPageBreak/>
        <w:t>support investments</w:t>
      </w:r>
      <w:r w:rsidR="002420D9">
        <w:rPr>
          <w:sz w:val="20"/>
          <w:szCs w:val="20"/>
          <w:lang w:val="en-US"/>
        </w:rPr>
        <w:t>, while</w:t>
      </w:r>
      <w:r w:rsidR="00224263">
        <w:rPr>
          <w:sz w:val="20"/>
          <w:szCs w:val="20"/>
          <w:lang w:val="en-US"/>
        </w:rPr>
        <w:t xml:space="preserve"> around 22%</w:t>
      </w:r>
      <w:r w:rsidR="00B26A37">
        <w:rPr>
          <w:sz w:val="20"/>
          <w:szCs w:val="20"/>
          <w:lang w:val="en-US"/>
        </w:rPr>
        <w:t xml:space="preserve"> will be addressed to</w:t>
      </w:r>
      <w:r w:rsidR="00224263">
        <w:rPr>
          <w:sz w:val="20"/>
          <w:szCs w:val="20"/>
          <w:lang w:val="en-US"/>
        </w:rPr>
        <w:t xml:space="preserve"> Latin America.</w:t>
      </w:r>
      <w:r w:rsidR="00B70FF7">
        <w:rPr>
          <w:sz w:val="20"/>
          <w:szCs w:val="20"/>
          <w:lang w:val="en-US"/>
        </w:rPr>
        <w:t xml:space="preserve"> </w:t>
      </w:r>
      <w:r w:rsidR="00E610CE">
        <w:rPr>
          <w:sz w:val="20"/>
          <w:szCs w:val="20"/>
          <w:lang w:val="en-US"/>
        </w:rPr>
        <w:t>Specifically, the Group plans to invest</w:t>
      </w:r>
      <w:r w:rsidR="00702A02">
        <w:rPr>
          <w:sz w:val="20"/>
          <w:szCs w:val="20"/>
          <w:lang w:val="en-US"/>
        </w:rPr>
        <w:t>:</w:t>
      </w:r>
    </w:p>
    <w:p w14:paraId="26961A8D" w14:textId="77777777" w:rsidR="00702A02" w:rsidRDefault="00702A02" w:rsidP="00796C8B">
      <w:pPr>
        <w:pStyle w:val="Default"/>
        <w:jc w:val="both"/>
        <w:rPr>
          <w:sz w:val="20"/>
          <w:szCs w:val="20"/>
          <w:lang w:val="en-US"/>
        </w:rPr>
      </w:pPr>
    </w:p>
    <w:p w14:paraId="12C80F70" w14:textId="6843B912" w:rsidR="00702A02" w:rsidRDefault="003C7398" w:rsidP="00702A02">
      <w:pPr>
        <w:pStyle w:val="Default"/>
        <w:numPr>
          <w:ilvl w:val="0"/>
          <w:numId w:val="4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 </w:t>
      </w:r>
      <w:r w:rsidR="00702A02" w:rsidRPr="007C6DF6">
        <w:rPr>
          <w:b/>
          <w:bCs/>
          <w:sz w:val="20"/>
          <w:szCs w:val="20"/>
          <w:lang w:val="en-US"/>
        </w:rPr>
        <w:t>I</w:t>
      </w:r>
      <w:r w:rsidRPr="007C6DF6">
        <w:rPr>
          <w:b/>
          <w:bCs/>
          <w:sz w:val="20"/>
          <w:szCs w:val="20"/>
          <w:lang w:val="en-US"/>
        </w:rPr>
        <w:t>taly</w:t>
      </w:r>
      <w:r>
        <w:rPr>
          <w:sz w:val="20"/>
          <w:szCs w:val="20"/>
          <w:lang w:val="en-US"/>
        </w:rPr>
        <w:t xml:space="preserve">, </w:t>
      </w:r>
      <w:r w:rsidR="00A84D01">
        <w:rPr>
          <w:sz w:val="20"/>
          <w:szCs w:val="20"/>
          <w:lang w:val="en-US"/>
        </w:rPr>
        <w:t xml:space="preserve">over </w:t>
      </w:r>
      <w:r w:rsidR="00793685" w:rsidRPr="007C6DF6">
        <w:rPr>
          <w:b/>
          <w:bCs/>
          <w:sz w:val="20"/>
          <w:szCs w:val="20"/>
          <w:lang w:val="en-US"/>
        </w:rPr>
        <w:t>16</w:t>
      </w:r>
      <w:r w:rsidR="00A84D01">
        <w:rPr>
          <w:b/>
          <w:bCs/>
          <w:sz w:val="20"/>
          <w:szCs w:val="20"/>
          <w:lang w:val="en-US"/>
        </w:rPr>
        <w:t xml:space="preserve"> </w:t>
      </w:r>
      <w:r w:rsidR="00793685" w:rsidRPr="007C6DF6">
        <w:rPr>
          <w:b/>
          <w:bCs/>
          <w:sz w:val="20"/>
          <w:szCs w:val="20"/>
          <w:lang w:val="en-US"/>
        </w:rPr>
        <w:t>billion euros</w:t>
      </w:r>
      <w:r w:rsidR="00793685">
        <w:rPr>
          <w:sz w:val="20"/>
          <w:szCs w:val="20"/>
          <w:lang w:val="en-US"/>
        </w:rPr>
        <w:t>;</w:t>
      </w:r>
    </w:p>
    <w:p w14:paraId="4088BE7B" w14:textId="0376E6BB" w:rsidR="00793685" w:rsidRPr="005E2948" w:rsidRDefault="00793685" w:rsidP="00793685">
      <w:pPr>
        <w:pStyle w:val="Default"/>
        <w:numPr>
          <w:ilvl w:val="0"/>
          <w:numId w:val="40"/>
        </w:numPr>
        <w:jc w:val="both"/>
        <w:rPr>
          <w:sz w:val="20"/>
          <w:szCs w:val="20"/>
          <w:lang w:val="en-US"/>
        </w:rPr>
      </w:pPr>
      <w:r w:rsidRPr="005E2948">
        <w:rPr>
          <w:sz w:val="20"/>
          <w:szCs w:val="20"/>
          <w:lang w:val="en-US"/>
        </w:rPr>
        <w:t xml:space="preserve">In </w:t>
      </w:r>
      <w:r w:rsidR="006D1408" w:rsidRPr="005E2948">
        <w:rPr>
          <w:b/>
          <w:bCs/>
          <w:sz w:val="20"/>
          <w:szCs w:val="20"/>
          <w:lang w:val="en-US"/>
        </w:rPr>
        <w:t>Iberia</w:t>
      </w:r>
      <w:r w:rsidRPr="005E2948">
        <w:rPr>
          <w:sz w:val="20"/>
          <w:szCs w:val="20"/>
          <w:lang w:val="en-US"/>
        </w:rPr>
        <w:t xml:space="preserve">, </w:t>
      </w:r>
      <w:r w:rsidR="00A84D01" w:rsidRPr="005E2948">
        <w:rPr>
          <w:sz w:val="20"/>
          <w:szCs w:val="20"/>
          <w:lang w:val="en-US"/>
        </w:rPr>
        <w:t xml:space="preserve">approximately </w:t>
      </w:r>
      <w:r w:rsidR="006D1408" w:rsidRPr="005E2948">
        <w:rPr>
          <w:b/>
          <w:bCs/>
          <w:sz w:val="20"/>
          <w:szCs w:val="20"/>
          <w:lang w:val="en-US"/>
        </w:rPr>
        <w:t>4</w:t>
      </w:r>
      <w:r w:rsidRPr="005E2948">
        <w:rPr>
          <w:b/>
          <w:bCs/>
          <w:sz w:val="20"/>
          <w:szCs w:val="20"/>
          <w:lang w:val="en-US"/>
        </w:rPr>
        <w:t xml:space="preserve"> billion euros</w:t>
      </w:r>
      <w:r w:rsidRPr="005E2948">
        <w:rPr>
          <w:sz w:val="20"/>
          <w:szCs w:val="20"/>
          <w:lang w:val="en-US"/>
        </w:rPr>
        <w:t>;</w:t>
      </w:r>
    </w:p>
    <w:p w14:paraId="58C86CC3" w14:textId="2DFA3DBD" w:rsidR="00793685" w:rsidRDefault="00793685" w:rsidP="00793685">
      <w:pPr>
        <w:pStyle w:val="Default"/>
        <w:numPr>
          <w:ilvl w:val="0"/>
          <w:numId w:val="40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 </w:t>
      </w:r>
      <w:r w:rsidR="006D1408">
        <w:rPr>
          <w:b/>
          <w:bCs/>
          <w:sz w:val="20"/>
          <w:szCs w:val="20"/>
          <w:lang w:val="en-US"/>
        </w:rPr>
        <w:t>Latin America</w:t>
      </w:r>
      <w:r>
        <w:rPr>
          <w:sz w:val="20"/>
          <w:szCs w:val="20"/>
          <w:lang w:val="en-US"/>
        </w:rPr>
        <w:t xml:space="preserve">, </w:t>
      </w:r>
      <w:r w:rsidR="00A54C32">
        <w:rPr>
          <w:sz w:val="20"/>
          <w:szCs w:val="20"/>
          <w:lang w:val="en-US"/>
        </w:rPr>
        <w:t>about</w:t>
      </w:r>
      <w:r>
        <w:rPr>
          <w:sz w:val="20"/>
          <w:szCs w:val="20"/>
          <w:lang w:val="en-US"/>
        </w:rPr>
        <w:t xml:space="preserve"> </w:t>
      </w:r>
      <w:r w:rsidR="00EA0EEA">
        <w:rPr>
          <w:b/>
          <w:bCs/>
          <w:sz w:val="20"/>
          <w:szCs w:val="20"/>
          <w:lang w:val="en-US"/>
        </w:rPr>
        <w:t>6</w:t>
      </w:r>
      <w:r w:rsidRPr="008750DB">
        <w:rPr>
          <w:b/>
          <w:bCs/>
          <w:sz w:val="20"/>
          <w:szCs w:val="20"/>
          <w:lang w:val="en-US"/>
        </w:rPr>
        <w:t xml:space="preserve"> billion euros</w:t>
      </w:r>
      <w:r w:rsidR="006D1408">
        <w:rPr>
          <w:sz w:val="20"/>
          <w:szCs w:val="20"/>
          <w:lang w:val="en-US"/>
        </w:rPr>
        <w:t>.</w:t>
      </w:r>
    </w:p>
    <w:p w14:paraId="0AA644D8" w14:textId="77777777" w:rsidR="00A019AE" w:rsidRDefault="00A019AE" w:rsidP="007C6DF6">
      <w:pPr>
        <w:pStyle w:val="Default"/>
        <w:ind w:left="360"/>
        <w:jc w:val="both"/>
        <w:rPr>
          <w:sz w:val="20"/>
          <w:szCs w:val="20"/>
          <w:lang w:val="en-US"/>
        </w:rPr>
      </w:pPr>
    </w:p>
    <w:p w14:paraId="3EC55EF6" w14:textId="1D2936C3" w:rsidR="00796C8B" w:rsidRPr="00796C8B" w:rsidRDefault="00796C8B" w:rsidP="00796C8B">
      <w:pPr>
        <w:pStyle w:val="Default"/>
        <w:jc w:val="both"/>
        <w:rPr>
          <w:sz w:val="20"/>
          <w:szCs w:val="20"/>
          <w:lang w:val="en-US"/>
        </w:rPr>
      </w:pPr>
      <w:r w:rsidRPr="00796C8B">
        <w:rPr>
          <w:sz w:val="20"/>
          <w:szCs w:val="20"/>
          <w:lang w:val="en-US"/>
        </w:rPr>
        <w:t xml:space="preserve">The increase in investments </w:t>
      </w:r>
      <w:r w:rsidR="00710845">
        <w:rPr>
          <w:sz w:val="20"/>
          <w:szCs w:val="20"/>
          <w:lang w:val="en-US"/>
        </w:rPr>
        <w:t>in G</w:t>
      </w:r>
      <w:r w:rsidR="00710845" w:rsidRPr="00796C8B">
        <w:rPr>
          <w:sz w:val="20"/>
          <w:szCs w:val="20"/>
          <w:lang w:val="en-US"/>
        </w:rPr>
        <w:t>rid</w:t>
      </w:r>
      <w:r w:rsidR="00710845">
        <w:rPr>
          <w:sz w:val="20"/>
          <w:szCs w:val="20"/>
          <w:lang w:val="en-US"/>
        </w:rPr>
        <w:t>s</w:t>
      </w:r>
      <w:r w:rsidR="00710845" w:rsidRPr="00796C8B">
        <w:rPr>
          <w:sz w:val="20"/>
          <w:szCs w:val="20"/>
          <w:lang w:val="en-US"/>
        </w:rPr>
        <w:t xml:space="preserve"> </w:t>
      </w:r>
      <w:r w:rsidR="000E0560">
        <w:rPr>
          <w:sz w:val="20"/>
          <w:szCs w:val="20"/>
          <w:lang w:val="en-US"/>
        </w:rPr>
        <w:t xml:space="preserve">is </w:t>
      </w:r>
      <w:r w:rsidR="0027471B">
        <w:rPr>
          <w:sz w:val="20"/>
          <w:szCs w:val="20"/>
          <w:lang w:val="en-US"/>
        </w:rPr>
        <w:t xml:space="preserve">expected </w:t>
      </w:r>
      <w:r w:rsidR="00A14E89">
        <w:rPr>
          <w:sz w:val="20"/>
          <w:szCs w:val="20"/>
          <w:lang w:val="en-US"/>
        </w:rPr>
        <w:t>to drive</w:t>
      </w:r>
      <w:r w:rsidRPr="00796C8B">
        <w:rPr>
          <w:sz w:val="20"/>
          <w:szCs w:val="20"/>
          <w:lang w:val="en-US"/>
        </w:rPr>
        <w:t xml:space="preserve"> the</w:t>
      </w:r>
      <w:r w:rsidR="00D85719">
        <w:rPr>
          <w:sz w:val="20"/>
          <w:szCs w:val="20"/>
          <w:lang w:val="en-US"/>
        </w:rPr>
        <w:t xml:space="preserve"> </w:t>
      </w:r>
      <w:r w:rsidR="00D85719" w:rsidRPr="00124644">
        <w:rPr>
          <w:b/>
          <w:bCs/>
          <w:sz w:val="20"/>
          <w:szCs w:val="20"/>
          <w:lang w:val="en-US"/>
        </w:rPr>
        <w:t>Group’s</w:t>
      </w:r>
      <w:r w:rsidRPr="00124644">
        <w:rPr>
          <w:b/>
          <w:bCs/>
          <w:sz w:val="20"/>
          <w:szCs w:val="20"/>
          <w:lang w:val="en-US"/>
        </w:rPr>
        <w:t xml:space="preserve"> Regulated</w:t>
      </w:r>
      <w:r w:rsidR="00A14E89" w:rsidRPr="00124644">
        <w:rPr>
          <w:b/>
          <w:bCs/>
          <w:sz w:val="20"/>
          <w:szCs w:val="20"/>
          <w:lang w:val="en-US"/>
        </w:rPr>
        <w:t xml:space="preserve"> </w:t>
      </w:r>
      <w:r w:rsidRPr="00124644">
        <w:rPr>
          <w:b/>
          <w:bCs/>
          <w:sz w:val="20"/>
          <w:szCs w:val="20"/>
          <w:lang w:val="en-US"/>
        </w:rPr>
        <w:t>Asset</w:t>
      </w:r>
      <w:r w:rsidR="00A14E89" w:rsidRPr="00124644">
        <w:rPr>
          <w:b/>
          <w:bCs/>
          <w:sz w:val="20"/>
          <w:szCs w:val="20"/>
          <w:lang w:val="en-US"/>
        </w:rPr>
        <w:t xml:space="preserve"> </w:t>
      </w:r>
      <w:r w:rsidRPr="00124644">
        <w:rPr>
          <w:b/>
          <w:bCs/>
          <w:sz w:val="20"/>
          <w:szCs w:val="20"/>
          <w:lang w:val="en-US"/>
        </w:rPr>
        <w:t>Base</w:t>
      </w:r>
      <w:r w:rsidRPr="00796C8B">
        <w:rPr>
          <w:sz w:val="20"/>
          <w:szCs w:val="20"/>
          <w:lang w:val="en-US"/>
        </w:rPr>
        <w:t xml:space="preserve"> </w:t>
      </w:r>
      <w:r w:rsidR="00A14E89">
        <w:rPr>
          <w:sz w:val="20"/>
          <w:szCs w:val="20"/>
          <w:lang w:val="en-US"/>
        </w:rPr>
        <w:t>(</w:t>
      </w:r>
      <w:r w:rsidR="00A14E89" w:rsidRPr="00124644">
        <w:rPr>
          <w:b/>
          <w:bCs/>
          <w:sz w:val="20"/>
          <w:szCs w:val="20"/>
          <w:lang w:val="en-US"/>
        </w:rPr>
        <w:t>RAB</w:t>
      </w:r>
      <w:r w:rsidR="00A14E89">
        <w:rPr>
          <w:sz w:val="20"/>
          <w:szCs w:val="20"/>
          <w:lang w:val="en-US"/>
        </w:rPr>
        <w:t>)</w:t>
      </w:r>
      <w:r w:rsidR="00CC623F">
        <w:rPr>
          <w:rStyle w:val="Refdenotaalpie"/>
          <w:sz w:val="20"/>
          <w:szCs w:val="20"/>
          <w:lang w:val="en-US"/>
        </w:rPr>
        <w:footnoteReference w:id="3"/>
      </w:r>
      <w:r w:rsidR="00A14E89">
        <w:rPr>
          <w:sz w:val="20"/>
          <w:szCs w:val="20"/>
          <w:lang w:val="en-US"/>
        </w:rPr>
        <w:t xml:space="preserve"> to </w:t>
      </w:r>
      <w:r w:rsidR="00A14E89" w:rsidRPr="00124644">
        <w:rPr>
          <w:b/>
          <w:bCs/>
          <w:sz w:val="20"/>
          <w:szCs w:val="20"/>
          <w:lang w:val="en-US"/>
        </w:rPr>
        <w:t>approximately 5</w:t>
      </w:r>
      <w:r w:rsidR="00224263" w:rsidRPr="00124644">
        <w:rPr>
          <w:b/>
          <w:bCs/>
          <w:sz w:val="20"/>
          <w:szCs w:val="20"/>
          <w:lang w:val="en-US"/>
        </w:rPr>
        <w:t>2</w:t>
      </w:r>
      <w:r w:rsidR="00A14E89" w:rsidRPr="00124644">
        <w:rPr>
          <w:b/>
          <w:bCs/>
          <w:sz w:val="20"/>
          <w:szCs w:val="20"/>
          <w:lang w:val="en-US"/>
        </w:rPr>
        <w:t xml:space="preserve"> billion euros</w:t>
      </w:r>
      <w:r w:rsidR="00A14E89">
        <w:rPr>
          <w:sz w:val="20"/>
          <w:szCs w:val="20"/>
          <w:lang w:val="en-US"/>
        </w:rPr>
        <w:t xml:space="preserve"> in </w:t>
      </w:r>
      <w:r w:rsidR="00A14E89" w:rsidRPr="00124644">
        <w:rPr>
          <w:b/>
          <w:bCs/>
          <w:sz w:val="20"/>
          <w:szCs w:val="20"/>
          <w:lang w:val="en-US"/>
        </w:rPr>
        <w:t>2027</w:t>
      </w:r>
      <w:r w:rsidR="00A14E89">
        <w:rPr>
          <w:sz w:val="20"/>
          <w:szCs w:val="20"/>
          <w:lang w:val="en-US"/>
        </w:rPr>
        <w:t xml:space="preserve"> from around</w:t>
      </w:r>
      <w:r w:rsidRPr="00796C8B">
        <w:rPr>
          <w:sz w:val="20"/>
          <w:szCs w:val="20"/>
          <w:lang w:val="en-US"/>
        </w:rPr>
        <w:t xml:space="preserve"> </w:t>
      </w:r>
      <w:r w:rsidRPr="00C83F69">
        <w:rPr>
          <w:sz w:val="20"/>
          <w:szCs w:val="20"/>
          <w:lang w:val="en-US"/>
        </w:rPr>
        <w:t>4</w:t>
      </w:r>
      <w:r w:rsidR="00224263" w:rsidRPr="00C83F69">
        <w:rPr>
          <w:sz w:val="20"/>
          <w:szCs w:val="20"/>
          <w:lang w:val="en-US"/>
        </w:rPr>
        <w:t>3</w:t>
      </w:r>
      <w:r w:rsidRPr="00796C8B">
        <w:rPr>
          <w:sz w:val="20"/>
          <w:szCs w:val="20"/>
          <w:lang w:val="en-US"/>
        </w:rPr>
        <w:t xml:space="preserve"> </w:t>
      </w:r>
      <w:r w:rsidR="00A14E89">
        <w:rPr>
          <w:sz w:val="20"/>
          <w:szCs w:val="20"/>
          <w:lang w:val="en-US"/>
        </w:rPr>
        <w:t>billion euros estimated</w:t>
      </w:r>
      <w:r w:rsidRPr="00796C8B">
        <w:rPr>
          <w:sz w:val="20"/>
          <w:szCs w:val="20"/>
          <w:lang w:val="en-US"/>
        </w:rPr>
        <w:t xml:space="preserve"> in 202</w:t>
      </w:r>
      <w:r w:rsidR="00A14E89">
        <w:rPr>
          <w:sz w:val="20"/>
          <w:szCs w:val="20"/>
          <w:lang w:val="en-US"/>
        </w:rPr>
        <w:t>4</w:t>
      </w:r>
      <w:r w:rsidRPr="00796C8B">
        <w:rPr>
          <w:sz w:val="20"/>
          <w:szCs w:val="20"/>
          <w:lang w:val="en-US"/>
        </w:rPr>
        <w:t>.</w:t>
      </w:r>
    </w:p>
    <w:p w14:paraId="4F4AABF9" w14:textId="77777777" w:rsidR="00B711F7" w:rsidRDefault="00B711F7" w:rsidP="00B711F7">
      <w:pPr>
        <w:pStyle w:val="Default"/>
        <w:jc w:val="both"/>
        <w:rPr>
          <w:sz w:val="20"/>
          <w:szCs w:val="20"/>
          <w:lang w:val="en-US"/>
        </w:rPr>
      </w:pPr>
    </w:p>
    <w:p w14:paraId="722DC459" w14:textId="477FC646" w:rsidR="00224263" w:rsidRDefault="00074EEF" w:rsidP="00B711F7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On the back of th</w:t>
      </w:r>
      <w:r w:rsidR="00FB39B3">
        <w:rPr>
          <w:sz w:val="20"/>
          <w:szCs w:val="20"/>
          <w:lang w:val="en-US"/>
        </w:rPr>
        <w:t>ese</w:t>
      </w:r>
      <w:r>
        <w:rPr>
          <w:sz w:val="20"/>
          <w:szCs w:val="20"/>
          <w:lang w:val="en-US"/>
        </w:rPr>
        <w:t xml:space="preserve"> </w:t>
      </w:r>
      <w:r w:rsidR="00FB39B3">
        <w:rPr>
          <w:sz w:val="20"/>
          <w:szCs w:val="20"/>
          <w:lang w:val="en-US"/>
        </w:rPr>
        <w:t>investments</w:t>
      </w:r>
      <w:r w:rsidR="00BC4F59" w:rsidRPr="00BB5FE7">
        <w:rPr>
          <w:sz w:val="20"/>
          <w:szCs w:val="20"/>
          <w:lang w:val="en-US"/>
        </w:rPr>
        <w:t xml:space="preserve">, </w:t>
      </w:r>
      <w:r w:rsidR="00BC4F59">
        <w:rPr>
          <w:sz w:val="20"/>
          <w:szCs w:val="20"/>
          <w:lang w:val="en-US"/>
        </w:rPr>
        <w:t>the Group’s power grids</w:t>
      </w:r>
      <w:r w:rsidR="00BC4F59" w:rsidRPr="00BB5FE7">
        <w:rPr>
          <w:sz w:val="20"/>
          <w:szCs w:val="20"/>
          <w:lang w:val="en-US"/>
        </w:rPr>
        <w:t xml:space="preserve"> </w:t>
      </w:r>
      <w:r w:rsidR="00BC4F59">
        <w:rPr>
          <w:sz w:val="20"/>
          <w:szCs w:val="20"/>
          <w:lang w:val="en-US"/>
        </w:rPr>
        <w:t xml:space="preserve">are expected to </w:t>
      </w:r>
      <w:r w:rsidR="00BC4F59" w:rsidRPr="00BB5FE7">
        <w:rPr>
          <w:sz w:val="20"/>
          <w:szCs w:val="20"/>
          <w:lang w:val="en-US"/>
        </w:rPr>
        <w:t>be more resilient, digitalized and efficient</w:t>
      </w:r>
      <w:r w:rsidR="00BC4F59">
        <w:rPr>
          <w:sz w:val="20"/>
          <w:szCs w:val="20"/>
          <w:lang w:val="en-US"/>
        </w:rPr>
        <w:t>. Furthermore, t</w:t>
      </w:r>
      <w:r w:rsidR="00224263">
        <w:rPr>
          <w:sz w:val="20"/>
          <w:szCs w:val="20"/>
          <w:lang w:val="en-US"/>
        </w:rPr>
        <w:t xml:space="preserve">he Group </w:t>
      </w:r>
      <w:r w:rsidR="00D81BFE">
        <w:rPr>
          <w:sz w:val="20"/>
          <w:szCs w:val="20"/>
          <w:lang w:val="en-US"/>
        </w:rPr>
        <w:t xml:space="preserve">will </w:t>
      </w:r>
      <w:r w:rsidR="00182EEF">
        <w:rPr>
          <w:sz w:val="20"/>
          <w:szCs w:val="20"/>
          <w:lang w:val="en-US"/>
        </w:rPr>
        <w:t>maint</w:t>
      </w:r>
      <w:r w:rsidR="00E454EB">
        <w:rPr>
          <w:sz w:val="20"/>
          <w:szCs w:val="20"/>
          <w:lang w:val="en-US"/>
        </w:rPr>
        <w:t>ain its commitment</w:t>
      </w:r>
      <w:r w:rsidR="0030622A">
        <w:rPr>
          <w:sz w:val="20"/>
          <w:szCs w:val="20"/>
          <w:lang w:val="en-US"/>
        </w:rPr>
        <w:t xml:space="preserve"> </w:t>
      </w:r>
      <w:r w:rsidR="00D65461">
        <w:rPr>
          <w:sz w:val="20"/>
          <w:szCs w:val="20"/>
          <w:lang w:val="en-US"/>
        </w:rPr>
        <w:t>to</w:t>
      </w:r>
      <w:r w:rsidR="00224263">
        <w:rPr>
          <w:sz w:val="20"/>
          <w:szCs w:val="20"/>
          <w:lang w:val="en-US"/>
        </w:rPr>
        <w:t xml:space="preserve"> advocacy </w:t>
      </w:r>
      <w:r w:rsidR="0030622A">
        <w:rPr>
          <w:sz w:val="20"/>
          <w:szCs w:val="20"/>
          <w:lang w:val="en-US"/>
        </w:rPr>
        <w:t xml:space="preserve">activities </w:t>
      </w:r>
      <w:r w:rsidR="00B26A37">
        <w:rPr>
          <w:sz w:val="20"/>
          <w:szCs w:val="20"/>
          <w:lang w:val="en-US"/>
        </w:rPr>
        <w:t>in favor of re</w:t>
      </w:r>
      <w:r w:rsidR="00C83F69">
        <w:rPr>
          <w:sz w:val="20"/>
          <w:szCs w:val="20"/>
          <w:lang w:val="en-US"/>
        </w:rPr>
        <w:t>g</w:t>
      </w:r>
      <w:r w:rsidR="00B26A37">
        <w:rPr>
          <w:sz w:val="20"/>
          <w:szCs w:val="20"/>
          <w:lang w:val="en-US"/>
        </w:rPr>
        <w:t>ulatory frameworks that support the central role grids play in the energy transition</w:t>
      </w:r>
      <w:r w:rsidR="00224263" w:rsidRPr="00796C8B">
        <w:rPr>
          <w:sz w:val="20"/>
          <w:szCs w:val="20"/>
          <w:lang w:val="en-US"/>
        </w:rPr>
        <w:t>.</w:t>
      </w:r>
    </w:p>
    <w:p w14:paraId="4ECD04DF" w14:textId="77777777" w:rsidR="00C8039F" w:rsidRDefault="00C8039F" w:rsidP="00B711F7">
      <w:pPr>
        <w:pStyle w:val="Default"/>
        <w:jc w:val="both"/>
        <w:rPr>
          <w:sz w:val="20"/>
          <w:szCs w:val="20"/>
          <w:lang w:val="en-US"/>
        </w:rPr>
      </w:pPr>
    </w:p>
    <w:p w14:paraId="259F964C" w14:textId="6AC053DE" w:rsidR="00C8039F" w:rsidRDefault="00A45885" w:rsidP="00B711F7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</w:t>
      </w:r>
      <w:r w:rsidR="00184587">
        <w:rPr>
          <w:sz w:val="20"/>
          <w:szCs w:val="20"/>
          <w:lang w:val="en-US"/>
        </w:rPr>
        <w:t>s a result of</w:t>
      </w:r>
      <w:r w:rsidR="00C8039F">
        <w:rPr>
          <w:sz w:val="20"/>
          <w:szCs w:val="20"/>
          <w:lang w:val="en-US"/>
        </w:rPr>
        <w:t xml:space="preserve"> </w:t>
      </w:r>
      <w:r w:rsidR="00382D6E">
        <w:rPr>
          <w:sz w:val="20"/>
          <w:szCs w:val="20"/>
          <w:lang w:val="en-US"/>
        </w:rPr>
        <w:t xml:space="preserve">investments allocated </w:t>
      </w:r>
      <w:r>
        <w:rPr>
          <w:sz w:val="20"/>
          <w:szCs w:val="20"/>
          <w:lang w:val="en-US"/>
        </w:rPr>
        <w:t>to</w:t>
      </w:r>
      <w:r w:rsidR="00382D6E">
        <w:rPr>
          <w:sz w:val="20"/>
          <w:szCs w:val="20"/>
          <w:lang w:val="en-US"/>
        </w:rPr>
        <w:t xml:space="preserve"> Grids</w:t>
      </w:r>
      <w:r w:rsidR="00C8039F">
        <w:rPr>
          <w:sz w:val="20"/>
          <w:szCs w:val="20"/>
          <w:lang w:val="en-US"/>
        </w:rPr>
        <w:t xml:space="preserve">, </w:t>
      </w:r>
      <w:r w:rsidR="00154ADC">
        <w:rPr>
          <w:sz w:val="20"/>
          <w:szCs w:val="20"/>
          <w:lang w:val="en-US"/>
        </w:rPr>
        <w:t>this business segment is</w:t>
      </w:r>
      <w:r w:rsidR="00C8039F">
        <w:rPr>
          <w:sz w:val="20"/>
          <w:szCs w:val="20"/>
          <w:lang w:val="en-US"/>
        </w:rPr>
        <w:t xml:space="preserve"> expected to account for </w:t>
      </w:r>
      <w:r w:rsidR="00C8039F" w:rsidRPr="007C6DF6">
        <w:rPr>
          <w:b/>
          <w:bCs/>
          <w:sz w:val="20"/>
          <w:szCs w:val="20"/>
          <w:lang w:val="en-US"/>
        </w:rPr>
        <w:t>about 40% of Group Ordinary EBITDA</w:t>
      </w:r>
      <w:r>
        <w:rPr>
          <w:b/>
          <w:bCs/>
          <w:sz w:val="20"/>
          <w:szCs w:val="20"/>
          <w:lang w:val="en-US"/>
        </w:rPr>
        <w:t xml:space="preserve"> </w:t>
      </w:r>
      <w:r w:rsidRPr="008F56CE">
        <w:rPr>
          <w:sz w:val="20"/>
          <w:szCs w:val="20"/>
          <w:lang w:val="en-US"/>
        </w:rPr>
        <w:t xml:space="preserve">in </w:t>
      </w:r>
      <w:r w:rsidRPr="00D44118">
        <w:rPr>
          <w:b/>
          <w:bCs/>
          <w:sz w:val="20"/>
          <w:szCs w:val="20"/>
          <w:lang w:val="en-US"/>
        </w:rPr>
        <w:t>2027</w:t>
      </w:r>
      <w:r w:rsidR="00C8039F">
        <w:rPr>
          <w:sz w:val="20"/>
          <w:szCs w:val="20"/>
          <w:lang w:val="en-US"/>
        </w:rPr>
        <w:t>.</w:t>
      </w:r>
    </w:p>
    <w:p w14:paraId="4B55D645" w14:textId="77777777" w:rsidR="00224263" w:rsidRDefault="00224263" w:rsidP="00B711F7">
      <w:pPr>
        <w:pStyle w:val="Default"/>
        <w:jc w:val="both"/>
        <w:rPr>
          <w:sz w:val="20"/>
          <w:szCs w:val="20"/>
          <w:lang w:val="en-US"/>
        </w:rPr>
      </w:pPr>
    </w:p>
    <w:p w14:paraId="5D9D19B4" w14:textId="77777777" w:rsidR="00B711F7" w:rsidRDefault="00B711F7" w:rsidP="00B711F7">
      <w:pPr>
        <w:pStyle w:val="Default"/>
        <w:jc w:val="both"/>
        <w:rPr>
          <w:i/>
          <w:iCs/>
          <w:sz w:val="20"/>
          <w:szCs w:val="20"/>
          <w:lang w:val="en-US"/>
        </w:rPr>
      </w:pPr>
      <w:r w:rsidRPr="002B719C">
        <w:rPr>
          <w:i/>
          <w:iCs/>
          <w:sz w:val="20"/>
          <w:szCs w:val="20"/>
          <w:lang w:val="en-US"/>
        </w:rPr>
        <w:t>Integrated Business</w:t>
      </w:r>
    </w:p>
    <w:p w14:paraId="6EEFFDBB" w14:textId="77777777" w:rsidR="00B711F7" w:rsidRDefault="00B711F7" w:rsidP="00B711F7">
      <w:pPr>
        <w:pStyle w:val="Default"/>
        <w:jc w:val="both"/>
        <w:rPr>
          <w:i/>
          <w:iCs/>
          <w:sz w:val="20"/>
          <w:szCs w:val="20"/>
          <w:lang w:val="en-US"/>
        </w:rPr>
      </w:pPr>
    </w:p>
    <w:p w14:paraId="13EC229C" w14:textId="719E5B7B" w:rsidR="009B30A0" w:rsidRDefault="008305B9" w:rsidP="009B30A0">
      <w:pPr>
        <w:pStyle w:val="Default"/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In the</w:t>
      </w:r>
      <w:r w:rsidRPr="00B842F6">
        <w:rPr>
          <w:b/>
          <w:bCs/>
          <w:sz w:val="20"/>
          <w:szCs w:val="20"/>
          <w:lang w:val="en-US"/>
        </w:rPr>
        <w:t xml:space="preserve"> 202</w:t>
      </w:r>
      <w:r>
        <w:rPr>
          <w:b/>
          <w:bCs/>
          <w:sz w:val="20"/>
          <w:szCs w:val="20"/>
          <w:lang w:val="en-US"/>
        </w:rPr>
        <w:t>5-</w:t>
      </w:r>
      <w:r w:rsidRPr="00B842F6">
        <w:rPr>
          <w:b/>
          <w:bCs/>
          <w:sz w:val="20"/>
          <w:szCs w:val="20"/>
          <w:lang w:val="en-US"/>
        </w:rPr>
        <w:t>202</w:t>
      </w:r>
      <w:r>
        <w:rPr>
          <w:b/>
          <w:bCs/>
          <w:sz w:val="20"/>
          <w:szCs w:val="20"/>
          <w:lang w:val="en-US"/>
        </w:rPr>
        <w:t xml:space="preserve">7 Plan, gross capex in the Integrated Business is expected to amount to </w:t>
      </w:r>
      <w:r w:rsidR="00471494">
        <w:rPr>
          <w:b/>
          <w:bCs/>
          <w:sz w:val="20"/>
          <w:szCs w:val="20"/>
          <w:lang w:val="en-US"/>
        </w:rPr>
        <w:t xml:space="preserve">more than </w:t>
      </w:r>
      <w:r>
        <w:rPr>
          <w:b/>
          <w:bCs/>
          <w:sz w:val="20"/>
          <w:szCs w:val="20"/>
          <w:lang w:val="en-US"/>
        </w:rPr>
        <w:t>16</w:t>
      </w:r>
      <w:r w:rsidRPr="00402078">
        <w:rPr>
          <w:b/>
          <w:bCs/>
          <w:sz w:val="20"/>
          <w:szCs w:val="20"/>
          <w:lang w:val="en-US"/>
        </w:rPr>
        <w:t xml:space="preserve"> billion euros</w:t>
      </w:r>
      <w:r w:rsidR="009B30A0">
        <w:rPr>
          <w:sz w:val="20"/>
          <w:szCs w:val="20"/>
          <w:lang w:val="en-US"/>
        </w:rPr>
        <w:t xml:space="preserve">. </w:t>
      </w:r>
    </w:p>
    <w:p w14:paraId="1F65AADB" w14:textId="77777777" w:rsidR="009B30A0" w:rsidRDefault="009B30A0" w:rsidP="00B711F7">
      <w:pPr>
        <w:pStyle w:val="Default"/>
        <w:jc w:val="both"/>
        <w:rPr>
          <w:sz w:val="20"/>
          <w:szCs w:val="20"/>
          <w:lang w:val="en-US"/>
        </w:rPr>
      </w:pPr>
    </w:p>
    <w:p w14:paraId="5C0E164F" w14:textId="49B3B9DB" w:rsidR="0096230D" w:rsidRDefault="00B711F7" w:rsidP="0096230D">
      <w:pPr>
        <w:pStyle w:val="Default"/>
        <w:jc w:val="both"/>
        <w:rPr>
          <w:sz w:val="20"/>
          <w:szCs w:val="20"/>
          <w:lang w:val="en-US"/>
        </w:rPr>
      </w:pPr>
      <w:r w:rsidRPr="0003355F">
        <w:rPr>
          <w:sz w:val="20"/>
          <w:szCs w:val="20"/>
          <w:lang w:val="en-US"/>
        </w:rPr>
        <w:t xml:space="preserve">In </w:t>
      </w:r>
      <w:r>
        <w:rPr>
          <w:b/>
          <w:bCs/>
          <w:sz w:val="20"/>
          <w:szCs w:val="20"/>
          <w:lang w:val="en-US"/>
        </w:rPr>
        <w:t xml:space="preserve">Renewables, </w:t>
      </w:r>
      <w:r w:rsidRPr="008F56CE">
        <w:rPr>
          <w:sz w:val="20"/>
          <w:szCs w:val="20"/>
          <w:lang w:val="en-US"/>
        </w:rPr>
        <w:t>the Group</w:t>
      </w:r>
      <w:r w:rsidRPr="00D75563">
        <w:rPr>
          <w:b/>
          <w:bCs/>
          <w:sz w:val="20"/>
          <w:szCs w:val="20"/>
          <w:lang w:val="en-US"/>
        </w:rPr>
        <w:t xml:space="preserve"> </w:t>
      </w:r>
      <w:r w:rsidR="00F33227" w:rsidRPr="008F56CE">
        <w:rPr>
          <w:sz w:val="20"/>
          <w:szCs w:val="20"/>
          <w:lang w:val="en-US"/>
        </w:rPr>
        <w:t>plans to invest</w:t>
      </w:r>
      <w:r>
        <w:rPr>
          <w:b/>
          <w:bCs/>
          <w:sz w:val="20"/>
          <w:szCs w:val="20"/>
          <w:lang w:val="en-US"/>
        </w:rPr>
        <w:t xml:space="preserve"> approximately</w:t>
      </w:r>
      <w:r w:rsidRPr="00D75563">
        <w:rPr>
          <w:b/>
          <w:bCs/>
          <w:sz w:val="20"/>
          <w:szCs w:val="20"/>
          <w:lang w:val="en-US"/>
        </w:rPr>
        <w:t xml:space="preserve"> </w:t>
      </w:r>
      <w:r w:rsidRPr="00871BED">
        <w:rPr>
          <w:b/>
          <w:bCs/>
          <w:sz w:val="20"/>
          <w:szCs w:val="20"/>
          <w:lang w:val="en-US"/>
        </w:rPr>
        <w:t>12</w:t>
      </w:r>
      <w:r w:rsidRPr="00D75563">
        <w:rPr>
          <w:b/>
          <w:bCs/>
          <w:sz w:val="20"/>
          <w:szCs w:val="20"/>
          <w:lang w:val="en-US"/>
        </w:rPr>
        <w:t xml:space="preserve"> billion euros</w:t>
      </w:r>
      <w:r w:rsidR="00F33227">
        <w:rPr>
          <w:sz w:val="20"/>
          <w:szCs w:val="20"/>
          <w:lang w:val="en-US"/>
        </w:rPr>
        <w:t xml:space="preserve"> with flexible</w:t>
      </w:r>
      <w:r w:rsidR="0096230D" w:rsidRPr="0096230D">
        <w:rPr>
          <w:sz w:val="20"/>
          <w:szCs w:val="20"/>
          <w:lang w:val="en-US"/>
        </w:rPr>
        <w:t xml:space="preserve"> </w:t>
      </w:r>
      <w:r w:rsidR="00F33227">
        <w:rPr>
          <w:sz w:val="20"/>
          <w:szCs w:val="20"/>
          <w:lang w:val="en-US"/>
        </w:rPr>
        <w:t xml:space="preserve">capital </w:t>
      </w:r>
      <w:r w:rsidR="0096230D">
        <w:rPr>
          <w:sz w:val="20"/>
          <w:szCs w:val="20"/>
          <w:lang w:val="en-US"/>
        </w:rPr>
        <w:t xml:space="preserve">allocation </w:t>
      </w:r>
      <w:r w:rsidR="00F33227">
        <w:rPr>
          <w:sz w:val="20"/>
          <w:szCs w:val="20"/>
          <w:lang w:val="en-US"/>
        </w:rPr>
        <w:t>and</w:t>
      </w:r>
      <w:r w:rsidR="0096230D">
        <w:rPr>
          <w:sz w:val="20"/>
          <w:szCs w:val="20"/>
          <w:lang w:val="en-US"/>
        </w:rPr>
        <w:t xml:space="preserve"> a selective approach </w:t>
      </w:r>
      <w:r w:rsidR="0096230D" w:rsidRPr="0023011C">
        <w:rPr>
          <w:sz w:val="20"/>
          <w:szCs w:val="20"/>
          <w:lang w:val="en-US"/>
        </w:rPr>
        <w:t xml:space="preserve">aimed at maximizing </w:t>
      </w:r>
      <w:r w:rsidR="00F33227">
        <w:rPr>
          <w:sz w:val="20"/>
          <w:szCs w:val="20"/>
          <w:lang w:val="en-US"/>
        </w:rPr>
        <w:t>returns</w:t>
      </w:r>
      <w:r w:rsidR="00F33227" w:rsidRPr="0023011C">
        <w:rPr>
          <w:sz w:val="20"/>
          <w:szCs w:val="20"/>
          <w:lang w:val="en-US"/>
        </w:rPr>
        <w:t xml:space="preserve"> </w:t>
      </w:r>
      <w:r w:rsidR="0096230D" w:rsidRPr="0023011C">
        <w:rPr>
          <w:sz w:val="20"/>
          <w:szCs w:val="20"/>
          <w:lang w:val="en-US"/>
        </w:rPr>
        <w:t>while minimizing risks</w:t>
      </w:r>
      <w:r w:rsidR="0096230D">
        <w:rPr>
          <w:sz w:val="20"/>
          <w:szCs w:val="20"/>
          <w:lang w:val="en-US"/>
        </w:rPr>
        <w:t xml:space="preserve">, also seizing on brownfield asset opportunities </w:t>
      </w:r>
      <w:r w:rsidR="00F33227">
        <w:rPr>
          <w:sz w:val="20"/>
          <w:szCs w:val="20"/>
          <w:lang w:val="en-US"/>
        </w:rPr>
        <w:t>with the aim to</w:t>
      </w:r>
      <w:r w:rsidR="0096230D">
        <w:rPr>
          <w:sz w:val="20"/>
          <w:szCs w:val="20"/>
          <w:lang w:val="en-US"/>
        </w:rPr>
        <w:t xml:space="preserve"> further </w:t>
      </w:r>
      <w:r w:rsidR="00F33227">
        <w:rPr>
          <w:sz w:val="20"/>
          <w:szCs w:val="20"/>
          <w:lang w:val="en-US"/>
        </w:rPr>
        <w:t xml:space="preserve">enhance </w:t>
      </w:r>
      <w:r w:rsidR="0096230D">
        <w:rPr>
          <w:sz w:val="20"/>
          <w:szCs w:val="20"/>
          <w:lang w:val="en-US"/>
        </w:rPr>
        <w:t>profitability.</w:t>
      </w:r>
    </w:p>
    <w:p w14:paraId="1E87FA09" w14:textId="237AAC4B" w:rsidR="0096230D" w:rsidRDefault="0096230D" w:rsidP="00B711F7">
      <w:pPr>
        <w:pStyle w:val="Default"/>
        <w:jc w:val="both"/>
        <w:rPr>
          <w:sz w:val="20"/>
          <w:szCs w:val="20"/>
          <w:lang w:val="en-US"/>
        </w:rPr>
      </w:pPr>
    </w:p>
    <w:p w14:paraId="18C1124E" w14:textId="1F396FD7" w:rsidR="006D79A7" w:rsidRDefault="00A00BEC" w:rsidP="00B711F7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</w:t>
      </w:r>
      <w:r w:rsidR="00E77E6A">
        <w:rPr>
          <w:sz w:val="20"/>
          <w:szCs w:val="20"/>
          <w:lang w:val="en-US"/>
        </w:rPr>
        <w:t xml:space="preserve">he Group plans to </w:t>
      </w:r>
      <w:r w:rsidR="00BE6075" w:rsidRPr="007C6DF6">
        <w:rPr>
          <w:b/>
          <w:bCs/>
          <w:sz w:val="20"/>
          <w:szCs w:val="20"/>
          <w:lang w:val="en-US"/>
        </w:rPr>
        <w:t xml:space="preserve">add around 12 GW </w:t>
      </w:r>
      <w:r w:rsidR="00BE6075" w:rsidRPr="009F5695">
        <w:rPr>
          <w:sz w:val="20"/>
          <w:szCs w:val="20"/>
          <w:lang w:val="en-US"/>
        </w:rPr>
        <w:t xml:space="preserve">of </w:t>
      </w:r>
      <w:r w:rsidR="00BE6075" w:rsidRPr="008F56CE">
        <w:rPr>
          <w:sz w:val="20"/>
          <w:szCs w:val="20"/>
          <w:lang w:val="en-US"/>
        </w:rPr>
        <w:t>capacity</w:t>
      </w:r>
      <w:r w:rsidR="00C83099">
        <w:rPr>
          <w:sz w:val="20"/>
          <w:szCs w:val="20"/>
          <w:lang w:val="en-US"/>
        </w:rPr>
        <w:t>,</w:t>
      </w:r>
      <w:r w:rsidR="008F56CE" w:rsidRPr="008F56CE">
        <w:rPr>
          <w:sz w:val="20"/>
          <w:szCs w:val="20"/>
          <w:lang w:val="en-US"/>
        </w:rPr>
        <w:t xml:space="preserve"> </w:t>
      </w:r>
      <w:r w:rsidR="008F56CE" w:rsidRPr="00124644">
        <w:rPr>
          <w:sz w:val="20"/>
          <w:szCs w:val="20"/>
          <w:lang w:val="en-US"/>
        </w:rPr>
        <w:t>with an improved technological mix that foresees</w:t>
      </w:r>
      <w:r w:rsidR="00BC3611" w:rsidRPr="008F56CE">
        <w:rPr>
          <w:sz w:val="20"/>
          <w:szCs w:val="20"/>
          <w:lang w:val="en-US"/>
        </w:rPr>
        <w:t xml:space="preserve"> </w:t>
      </w:r>
      <w:r w:rsidR="007D6365" w:rsidRPr="008F56CE">
        <w:rPr>
          <w:sz w:val="20"/>
          <w:szCs w:val="20"/>
          <w:lang w:val="en-US"/>
        </w:rPr>
        <w:t>more</w:t>
      </w:r>
      <w:r w:rsidR="007D6365">
        <w:rPr>
          <w:sz w:val="20"/>
          <w:szCs w:val="20"/>
          <w:lang w:val="en-US"/>
        </w:rPr>
        <w:t xml:space="preserve"> than 70%  from onshore wind and dispatchable technologies (hydro and batteries), </w:t>
      </w:r>
      <w:r w:rsidR="00BC3611">
        <w:rPr>
          <w:sz w:val="20"/>
          <w:szCs w:val="20"/>
          <w:lang w:val="en-US"/>
        </w:rPr>
        <w:t>reaching</w:t>
      </w:r>
      <w:r w:rsidR="00083556">
        <w:rPr>
          <w:sz w:val="20"/>
          <w:szCs w:val="20"/>
          <w:lang w:val="en-US"/>
        </w:rPr>
        <w:t xml:space="preserve"> a total</w:t>
      </w:r>
      <w:r w:rsidR="007D6365">
        <w:rPr>
          <w:sz w:val="20"/>
          <w:szCs w:val="20"/>
          <w:lang w:val="en-US"/>
        </w:rPr>
        <w:t xml:space="preserve"> installed renewable capacity</w:t>
      </w:r>
      <w:r w:rsidR="00083556">
        <w:rPr>
          <w:sz w:val="20"/>
          <w:szCs w:val="20"/>
          <w:lang w:val="en-US"/>
        </w:rPr>
        <w:t xml:space="preserve"> of</w:t>
      </w:r>
      <w:r w:rsidR="00AD7398">
        <w:rPr>
          <w:sz w:val="20"/>
          <w:szCs w:val="20"/>
          <w:lang w:val="en-US"/>
        </w:rPr>
        <w:t xml:space="preserve"> </w:t>
      </w:r>
      <w:r w:rsidR="00AD7398" w:rsidRPr="007C6DF6">
        <w:rPr>
          <w:b/>
          <w:bCs/>
          <w:sz w:val="20"/>
          <w:szCs w:val="20"/>
          <w:lang w:val="en-US"/>
        </w:rPr>
        <w:t>about</w:t>
      </w:r>
      <w:r w:rsidR="00AD7398" w:rsidRPr="00055CF9">
        <w:rPr>
          <w:sz w:val="20"/>
          <w:szCs w:val="20"/>
          <w:lang w:val="en-US"/>
        </w:rPr>
        <w:t xml:space="preserve"> </w:t>
      </w:r>
      <w:r w:rsidR="00AD7398" w:rsidRPr="007C6DF6">
        <w:rPr>
          <w:b/>
          <w:bCs/>
          <w:sz w:val="20"/>
          <w:szCs w:val="20"/>
          <w:lang w:val="en-US"/>
        </w:rPr>
        <w:t xml:space="preserve">76 GW </w:t>
      </w:r>
      <w:r w:rsidR="00AD7398" w:rsidRPr="008F56CE">
        <w:rPr>
          <w:sz w:val="20"/>
          <w:szCs w:val="20"/>
          <w:lang w:val="en-US"/>
        </w:rPr>
        <w:t>in</w:t>
      </w:r>
      <w:r w:rsidR="00AD7398" w:rsidRPr="007C6DF6">
        <w:rPr>
          <w:b/>
          <w:bCs/>
          <w:sz w:val="20"/>
          <w:szCs w:val="20"/>
          <w:lang w:val="en-US"/>
        </w:rPr>
        <w:t xml:space="preserve"> 2027</w:t>
      </w:r>
      <w:r w:rsidR="00AD7398">
        <w:rPr>
          <w:sz w:val="20"/>
          <w:szCs w:val="20"/>
          <w:lang w:val="en-US"/>
        </w:rPr>
        <w:t xml:space="preserve">. </w:t>
      </w:r>
    </w:p>
    <w:p w14:paraId="4746C092" w14:textId="77777777" w:rsidR="006D79A7" w:rsidRDefault="006D79A7" w:rsidP="00B711F7">
      <w:pPr>
        <w:pStyle w:val="Default"/>
        <w:jc w:val="both"/>
        <w:rPr>
          <w:sz w:val="20"/>
          <w:szCs w:val="20"/>
          <w:lang w:val="en-US"/>
        </w:rPr>
      </w:pPr>
    </w:p>
    <w:p w14:paraId="53DCE275" w14:textId="4A06A693" w:rsidR="0096230D" w:rsidRDefault="00055CF9" w:rsidP="00B711F7">
      <w:pPr>
        <w:pStyle w:val="Default"/>
        <w:jc w:val="both"/>
        <w:rPr>
          <w:sz w:val="20"/>
          <w:szCs w:val="20"/>
          <w:lang w:val="en-US"/>
        </w:rPr>
      </w:pPr>
      <w:r w:rsidRPr="007C6DF6">
        <w:rPr>
          <w:b/>
          <w:bCs/>
          <w:sz w:val="20"/>
          <w:szCs w:val="20"/>
          <w:lang w:val="en-US"/>
        </w:rPr>
        <w:t>Group t</w:t>
      </w:r>
      <w:r w:rsidR="0096230D" w:rsidRPr="007C6DF6">
        <w:rPr>
          <w:b/>
          <w:bCs/>
          <w:sz w:val="20"/>
          <w:szCs w:val="20"/>
          <w:lang w:val="en-US"/>
        </w:rPr>
        <w:t xml:space="preserve">otal </w:t>
      </w:r>
      <w:r w:rsidRPr="007C6DF6">
        <w:rPr>
          <w:b/>
          <w:bCs/>
          <w:sz w:val="20"/>
          <w:szCs w:val="20"/>
          <w:lang w:val="en-US"/>
        </w:rPr>
        <w:t xml:space="preserve">renewable </w:t>
      </w:r>
      <w:r w:rsidR="0096230D" w:rsidRPr="007C6DF6">
        <w:rPr>
          <w:b/>
          <w:bCs/>
          <w:sz w:val="20"/>
          <w:szCs w:val="20"/>
          <w:lang w:val="en-US"/>
        </w:rPr>
        <w:t xml:space="preserve">production is </w:t>
      </w:r>
      <w:r w:rsidR="001479F5">
        <w:rPr>
          <w:b/>
          <w:bCs/>
          <w:sz w:val="20"/>
          <w:szCs w:val="20"/>
          <w:lang w:val="en-US"/>
        </w:rPr>
        <w:t>expected</w:t>
      </w:r>
      <w:r w:rsidR="0096230D" w:rsidRPr="007C6DF6">
        <w:rPr>
          <w:b/>
          <w:bCs/>
          <w:sz w:val="20"/>
          <w:szCs w:val="20"/>
          <w:lang w:val="en-US"/>
        </w:rPr>
        <w:t xml:space="preserve"> to increase by</w:t>
      </w:r>
      <w:r>
        <w:rPr>
          <w:b/>
          <w:bCs/>
          <w:sz w:val="20"/>
          <w:szCs w:val="20"/>
          <w:lang w:val="en-US"/>
        </w:rPr>
        <w:t xml:space="preserve"> </w:t>
      </w:r>
      <w:r w:rsidR="00CE4F67">
        <w:rPr>
          <w:b/>
          <w:bCs/>
          <w:sz w:val="20"/>
          <w:szCs w:val="20"/>
          <w:lang w:val="en-US"/>
        </w:rPr>
        <w:t>over</w:t>
      </w:r>
      <w:r w:rsidR="00CE4F67" w:rsidRPr="007C6DF6">
        <w:rPr>
          <w:b/>
          <w:bCs/>
          <w:sz w:val="20"/>
          <w:szCs w:val="20"/>
          <w:lang w:val="en-US"/>
        </w:rPr>
        <w:t xml:space="preserve"> </w:t>
      </w:r>
      <w:r w:rsidR="0096230D" w:rsidRPr="00F375EE">
        <w:rPr>
          <w:b/>
          <w:bCs/>
          <w:sz w:val="20"/>
          <w:szCs w:val="20"/>
          <w:lang w:val="en-US"/>
        </w:rPr>
        <w:t>1</w:t>
      </w:r>
      <w:r w:rsidR="00CE4F67">
        <w:rPr>
          <w:b/>
          <w:bCs/>
          <w:sz w:val="20"/>
          <w:szCs w:val="20"/>
          <w:lang w:val="en-US"/>
        </w:rPr>
        <w:t>5</w:t>
      </w:r>
      <w:r w:rsidR="0096230D" w:rsidRPr="00F375EE">
        <w:rPr>
          <w:b/>
          <w:bCs/>
          <w:sz w:val="20"/>
          <w:szCs w:val="20"/>
          <w:lang w:val="en-US"/>
        </w:rPr>
        <w:t>%</w:t>
      </w:r>
      <w:r w:rsidR="000C7453">
        <w:rPr>
          <w:sz w:val="20"/>
          <w:szCs w:val="20"/>
          <w:lang w:val="en-US"/>
        </w:rPr>
        <w:t xml:space="preserve"> </w:t>
      </w:r>
      <w:r w:rsidR="0039441C">
        <w:rPr>
          <w:sz w:val="20"/>
          <w:szCs w:val="20"/>
          <w:lang w:val="en-US"/>
        </w:rPr>
        <w:t>in the Plan period</w:t>
      </w:r>
      <w:r w:rsidR="009705A7">
        <w:rPr>
          <w:sz w:val="20"/>
          <w:szCs w:val="20"/>
          <w:lang w:val="en-US"/>
        </w:rPr>
        <w:t xml:space="preserve"> </w:t>
      </w:r>
      <w:r w:rsidR="000C7453">
        <w:rPr>
          <w:sz w:val="20"/>
          <w:szCs w:val="20"/>
          <w:lang w:val="en-US"/>
        </w:rPr>
        <w:t>across all geographies,</w:t>
      </w:r>
      <w:r w:rsidR="0096230D" w:rsidRPr="0096230D">
        <w:rPr>
          <w:sz w:val="20"/>
          <w:szCs w:val="20"/>
          <w:lang w:val="en-US"/>
        </w:rPr>
        <w:t xml:space="preserve"> </w:t>
      </w:r>
      <w:r w:rsidR="009705A7">
        <w:rPr>
          <w:sz w:val="20"/>
          <w:szCs w:val="20"/>
          <w:lang w:val="en-US"/>
        </w:rPr>
        <w:t>mainly in Europe and the United States</w:t>
      </w:r>
      <w:r w:rsidR="00D324AC">
        <w:rPr>
          <w:sz w:val="20"/>
          <w:szCs w:val="20"/>
          <w:lang w:val="en-US"/>
        </w:rPr>
        <w:t xml:space="preserve">, which </w:t>
      </w:r>
      <w:r w:rsidR="00A73AA2">
        <w:rPr>
          <w:sz w:val="20"/>
          <w:szCs w:val="20"/>
          <w:lang w:val="en-US"/>
        </w:rPr>
        <w:t>will</w:t>
      </w:r>
      <w:r w:rsidR="00D324AC">
        <w:rPr>
          <w:sz w:val="20"/>
          <w:szCs w:val="20"/>
          <w:lang w:val="en-US"/>
        </w:rPr>
        <w:t xml:space="preserve"> account for</w:t>
      </w:r>
      <w:r w:rsidR="008F56CE">
        <w:rPr>
          <w:sz w:val="20"/>
          <w:szCs w:val="20"/>
          <w:lang w:val="en-US"/>
        </w:rPr>
        <w:t xml:space="preserve"> about</w:t>
      </w:r>
      <w:r w:rsidR="00D324AC">
        <w:rPr>
          <w:sz w:val="20"/>
          <w:szCs w:val="20"/>
          <w:lang w:val="en-US"/>
        </w:rPr>
        <w:t xml:space="preserve"> </w:t>
      </w:r>
      <w:r w:rsidR="00E30CEB">
        <w:rPr>
          <w:sz w:val="20"/>
          <w:szCs w:val="20"/>
          <w:lang w:val="en-US"/>
        </w:rPr>
        <w:t>55</w:t>
      </w:r>
      <w:r w:rsidR="00D324AC" w:rsidRPr="00F375EE">
        <w:rPr>
          <w:sz w:val="20"/>
          <w:szCs w:val="20"/>
          <w:lang w:val="en-US"/>
        </w:rPr>
        <w:t>%</w:t>
      </w:r>
      <w:r w:rsidR="00D324AC">
        <w:rPr>
          <w:sz w:val="20"/>
          <w:szCs w:val="20"/>
          <w:lang w:val="en-US"/>
        </w:rPr>
        <w:t xml:space="preserve"> </w:t>
      </w:r>
      <w:r w:rsidR="00164EEA">
        <w:rPr>
          <w:sz w:val="20"/>
          <w:szCs w:val="20"/>
          <w:lang w:val="en-US"/>
        </w:rPr>
        <w:t xml:space="preserve">of </w:t>
      </w:r>
      <w:r w:rsidR="00D324AC">
        <w:rPr>
          <w:sz w:val="20"/>
          <w:szCs w:val="20"/>
          <w:lang w:val="en-US"/>
        </w:rPr>
        <w:t xml:space="preserve">total </w:t>
      </w:r>
      <w:r w:rsidR="00732536">
        <w:rPr>
          <w:sz w:val="20"/>
          <w:szCs w:val="20"/>
          <w:lang w:val="en-US"/>
        </w:rPr>
        <w:t xml:space="preserve">Group </w:t>
      </w:r>
      <w:r w:rsidR="00D324AC">
        <w:rPr>
          <w:sz w:val="20"/>
          <w:szCs w:val="20"/>
          <w:lang w:val="en-US"/>
        </w:rPr>
        <w:t>renewable production in 2027</w:t>
      </w:r>
      <w:r w:rsidR="0096230D" w:rsidRPr="0096230D">
        <w:rPr>
          <w:sz w:val="20"/>
          <w:szCs w:val="20"/>
          <w:lang w:val="en-US"/>
        </w:rPr>
        <w:t>.</w:t>
      </w:r>
    </w:p>
    <w:p w14:paraId="190B2E78" w14:textId="57EF8678" w:rsidR="00405A21" w:rsidRDefault="00405A21" w:rsidP="00B711F7">
      <w:pPr>
        <w:pStyle w:val="Default"/>
        <w:jc w:val="both"/>
        <w:rPr>
          <w:sz w:val="20"/>
          <w:szCs w:val="20"/>
          <w:lang w:val="en-US"/>
        </w:rPr>
      </w:pPr>
    </w:p>
    <w:p w14:paraId="1B7BE9B5" w14:textId="2BA8E6CE" w:rsidR="00B711F7" w:rsidRDefault="003E10E9" w:rsidP="00B711F7">
      <w:pPr>
        <w:pStyle w:val="Default"/>
        <w:jc w:val="both"/>
        <w:rPr>
          <w:sz w:val="20"/>
          <w:szCs w:val="20"/>
          <w:lang w:val="en-US"/>
        </w:rPr>
      </w:pPr>
      <w:r w:rsidRPr="008F56CE">
        <w:rPr>
          <w:sz w:val="20"/>
          <w:szCs w:val="20"/>
          <w:lang w:val="en-US"/>
        </w:rPr>
        <w:t>F</w:t>
      </w:r>
      <w:r w:rsidR="00B711F7">
        <w:rPr>
          <w:sz w:val="20"/>
          <w:szCs w:val="20"/>
          <w:lang w:val="en-US"/>
        </w:rPr>
        <w:t>rom a geographical standpoint</w:t>
      </w:r>
      <w:r>
        <w:rPr>
          <w:sz w:val="20"/>
          <w:szCs w:val="20"/>
          <w:lang w:val="en-US"/>
        </w:rPr>
        <w:t xml:space="preserve">, </w:t>
      </w:r>
      <w:r w:rsidRPr="008F56CE">
        <w:rPr>
          <w:b/>
          <w:bCs/>
          <w:sz w:val="20"/>
          <w:szCs w:val="20"/>
          <w:lang w:val="en-US"/>
        </w:rPr>
        <w:t>gross capex in Renewables</w:t>
      </w:r>
      <w:r>
        <w:rPr>
          <w:sz w:val="20"/>
          <w:szCs w:val="20"/>
          <w:lang w:val="en-US"/>
        </w:rPr>
        <w:t xml:space="preserve"> will be allocated as following:</w:t>
      </w:r>
    </w:p>
    <w:p w14:paraId="7BC18F14" w14:textId="6B094D94" w:rsidR="00B711F7" w:rsidRPr="00D14DFA" w:rsidRDefault="008F56CE" w:rsidP="00B711F7">
      <w:pPr>
        <w:pStyle w:val="Default"/>
        <w:numPr>
          <w:ilvl w:val="0"/>
          <w:numId w:val="28"/>
        </w:numPr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Around </w:t>
      </w:r>
      <w:r w:rsidR="003E10E9">
        <w:rPr>
          <w:b/>
          <w:bCs/>
          <w:sz w:val="20"/>
          <w:szCs w:val="20"/>
          <w:lang w:val="en-US"/>
        </w:rPr>
        <w:t xml:space="preserve">65% </w:t>
      </w:r>
      <w:r w:rsidR="003E10E9" w:rsidRPr="008F56CE">
        <w:rPr>
          <w:sz w:val="20"/>
          <w:szCs w:val="20"/>
          <w:lang w:val="en-US"/>
        </w:rPr>
        <w:t>in</w:t>
      </w:r>
      <w:r w:rsidR="003E10E9" w:rsidRPr="00D14DFA">
        <w:rPr>
          <w:b/>
          <w:bCs/>
          <w:sz w:val="20"/>
          <w:szCs w:val="20"/>
          <w:lang w:val="en-US"/>
        </w:rPr>
        <w:t xml:space="preserve"> </w:t>
      </w:r>
      <w:r w:rsidR="00B711F7" w:rsidRPr="00D14DFA">
        <w:rPr>
          <w:b/>
          <w:bCs/>
          <w:sz w:val="20"/>
          <w:szCs w:val="20"/>
          <w:lang w:val="en-US"/>
        </w:rPr>
        <w:t>Europe</w:t>
      </w:r>
      <w:r w:rsidR="003E10E9">
        <w:rPr>
          <w:sz w:val="20"/>
          <w:szCs w:val="20"/>
          <w:lang w:val="en-US"/>
        </w:rPr>
        <w:t xml:space="preserve"> </w:t>
      </w:r>
      <w:r w:rsidR="006A2B6E">
        <w:rPr>
          <w:sz w:val="20"/>
          <w:szCs w:val="20"/>
          <w:lang w:val="en-US"/>
        </w:rPr>
        <w:t>(</w:t>
      </w:r>
      <w:r w:rsidR="00873ED4">
        <w:rPr>
          <w:sz w:val="20"/>
          <w:szCs w:val="20"/>
          <w:lang w:val="en-US"/>
        </w:rPr>
        <w:t xml:space="preserve">of which </w:t>
      </w:r>
      <w:r>
        <w:rPr>
          <w:sz w:val="20"/>
          <w:szCs w:val="20"/>
          <w:lang w:val="en-US"/>
        </w:rPr>
        <w:t xml:space="preserve">approximately </w:t>
      </w:r>
      <w:r w:rsidR="00B26A37">
        <w:rPr>
          <w:sz w:val="20"/>
          <w:szCs w:val="20"/>
          <w:lang w:val="en-US"/>
        </w:rPr>
        <w:t>3</w:t>
      </w:r>
      <w:r w:rsidR="002843AC">
        <w:rPr>
          <w:sz w:val="20"/>
          <w:szCs w:val="20"/>
          <w:lang w:val="en-US"/>
        </w:rPr>
        <w:t>4</w:t>
      </w:r>
      <w:r w:rsidR="00B26A37">
        <w:rPr>
          <w:sz w:val="20"/>
          <w:szCs w:val="20"/>
          <w:lang w:val="en-US"/>
        </w:rPr>
        <w:t>%</w:t>
      </w:r>
      <w:r w:rsidR="002843AC">
        <w:rPr>
          <w:sz w:val="20"/>
          <w:szCs w:val="20"/>
          <w:lang w:val="en-US"/>
        </w:rPr>
        <w:t xml:space="preserve"> in Italy and </w:t>
      </w:r>
      <w:r>
        <w:rPr>
          <w:sz w:val="20"/>
          <w:szCs w:val="20"/>
          <w:lang w:val="en-US"/>
        </w:rPr>
        <w:t xml:space="preserve">about </w:t>
      </w:r>
      <w:r w:rsidR="002843AC">
        <w:rPr>
          <w:sz w:val="20"/>
          <w:szCs w:val="20"/>
          <w:lang w:val="en-US"/>
        </w:rPr>
        <w:t>3</w:t>
      </w:r>
      <w:r w:rsidR="00B26A37">
        <w:rPr>
          <w:sz w:val="20"/>
          <w:szCs w:val="20"/>
          <w:lang w:val="en-US"/>
        </w:rPr>
        <w:t xml:space="preserve">1% </w:t>
      </w:r>
      <w:r w:rsidR="002843AC">
        <w:rPr>
          <w:sz w:val="20"/>
          <w:szCs w:val="20"/>
          <w:lang w:val="en-US"/>
        </w:rPr>
        <w:t xml:space="preserve">in </w:t>
      </w:r>
      <w:r w:rsidR="00873ED4">
        <w:rPr>
          <w:sz w:val="20"/>
          <w:szCs w:val="20"/>
          <w:lang w:val="en-US"/>
        </w:rPr>
        <w:t>Iberia</w:t>
      </w:r>
      <w:r w:rsidR="002843AC">
        <w:rPr>
          <w:sz w:val="20"/>
          <w:szCs w:val="20"/>
          <w:lang w:val="en-US"/>
        </w:rPr>
        <w:t>)</w:t>
      </w:r>
      <w:r w:rsidR="00B56147">
        <w:rPr>
          <w:sz w:val="20"/>
          <w:szCs w:val="20"/>
          <w:lang w:val="en-US"/>
        </w:rPr>
        <w:t xml:space="preserve">, </w:t>
      </w:r>
      <w:r w:rsidR="003E10E9">
        <w:rPr>
          <w:sz w:val="20"/>
          <w:szCs w:val="20"/>
          <w:lang w:val="en-US"/>
        </w:rPr>
        <w:t xml:space="preserve">where </w:t>
      </w:r>
      <w:r w:rsidR="00B56147">
        <w:rPr>
          <w:sz w:val="20"/>
          <w:szCs w:val="20"/>
          <w:lang w:val="en-US"/>
        </w:rPr>
        <w:t xml:space="preserve">new regulatory frameworks are </w:t>
      </w:r>
      <w:r w:rsidR="003E10E9">
        <w:rPr>
          <w:sz w:val="20"/>
          <w:szCs w:val="20"/>
          <w:lang w:val="en-US"/>
        </w:rPr>
        <w:t xml:space="preserve">deemed </w:t>
      </w:r>
      <w:r w:rsidR="00B56147">
        <w:rPr>
          <w:sz w:val="20"/>
          <w:szCs w:val="20"/>
          <w:lang w:val="en-US"/>
        </w:rPr>
        <w:t>to support decarbonization plans;</w:t>
      </w:r>
    </w:p>
    <w:p w14:paraId="2DEC742B" w14:textId="4EFBDA3B" w:rsidR="00AE4EA3" w:rsidRPr="008F56CE" w:rsidRDefault="008F56CE" w:rsidP="008F56CE">
      <w:pPr>
        <w:pStyle w:val="Default"/>
        <w:numPr>
          <w:ilvl w:val="0"/>
          <w:numId w:val="28"/>
        </w:numPr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Approximately </w:t>
      </w:r>
      <w:r w:rsidRPr="00124644">
        <w:rPr>
          <w:b/>
          <w:bCs/>
          <w:sz w:val="20"/>
          <w:szCs w:val="20"/>
          <w:lang w:val="en-US"/>
        </w:rPr>
        <w:t>35</w:t>
      </w:r>
      <w:r w:rsidR="00D77DEA">
        <w:rPr>
          <w:b/>
          <w:bCs/>
          <w:sz w:val="20"/>
          <w:szCs w:val="20"/>
          <w:lang w:val="en-US"/>
        </w:rPr>
        <w:t xml:space="preserve">% </w:t>
      </w:r>
      <w:r w:rsidR="00D77DEA">
        <w:rPr>
          <w:sz w:val="20"/>
          <w:szCs w:val="20"/>
          <w:lang w:val="en-US"/>
        </w:rPr>
        <w:t>in</w:t>
      </w:r>
      <w:r w:rsidR="00D77DEA" w:rsidRPr="00D14DFA">
        <w:rPr>
          <w:sz w:val="20"/>
          <w:szCs w:val="20"/>
          <w:lang w:val="en-US"/>
        </w:rPr>
        <w:t xml:space="preserve"> </w:t>
      </w:r>
      <w:r w:rsidRPr="00B842F6">
        <w:rPr>
          <w:b/>
          <w:bCs/>
          <w:sz w:val="20"/>
          <w:szCs w:val="20"/>
          <w:lang w:val="en-US"/>
        </w:rPr>
        <w:t xml:space="preserve">Latin </w:t>
      </w:r>
      <w:r>
        <w:rPr>
          <w:sz w:val="20"/>
          <w:szCs w:val="20"/>
          <w:lang w:val="en-US"/>
        </w:rPr>
        <w:t xml:space="preserve">and </w:t>
      </w:r>
      <w:r w:rsidR="00B56147" w:rsidRPr="00B842F6">
        <w:rPr>
          <w:b/>
          <w:bCs/>
          <w:sz w:val="20"/>
          <w:szCs w:val="20"/>
          <w:lang w:val="en-US"/>
        </w:rPr>
        <w:t>North America</w:t>
      </w:r>
      <w:r w:rsidR="00AE4EA3" w:rsidRPr="008F56CE">
        <w:rPr>
          <w:sz w:val="20"/>
          <w:szCs w:val="20"/>
          <w:lang w:val="en-US"/>
        </w:rPr>
        <w:t>.</w:t>
      </w:r>
    </w:p>
    <w:p w14:paraId="7285D2B1" w14:textId="77777777" w:rsidR="00C8039F" w:rsidRDefault="00C8039F" w:rsidP="00B711F7">
      <w:pPr>
        <w:pStyle w:val="Default"/>
        <w:jc w:val="both"/>
        <w:rPr>
          <w:sz w:val="20"/>
          <w:szCs w:val="20"/>
          <w:lang w:val="en-US"/>
        </w:rPr>
      </w:pPr>
    </w:p>
    <w:p w14:paraId="5A7B7AF8" w14:textId="594D674C" w:rsidR="00B711F7" w:rsidRDefault="00B711F7" w:rsidP="00B711F7">
      <w:pPr>
        <w:pStyle w:val="Default"/>
        <w:jc w:val="both"/>
        <w:rPr>
          <w:sz w:val="20"/>
          <w:szCs w:val="20"/>
          <w:lang w:val="en-US"/>
        </w:rPr>
      </w:pPr>
      <w:r w:rsidRPr="00EF49D2">
        <w:rPr>
          <w:b/>
          <w:bCs/>
          <w:sz w:val="20"/>
          <w:szCs w:val="20"/>
          <w:lang w:val="en-US"/>
        </w:rPr>
        <w:t>In</w:t>
      </w:r>
      <w:r w:rsidR="00530671" w:rsidRPr="00EF49D2">
        <w:rPr>
          <w:b/>
          <w:bCs/>
          <w:sz w:val="20"/>
          <w:szCs w:val="20"/>
          <w:lang w:val="en-US"/>
        </w:rPr>
        <w:t xml:space="preserve"> the 2025-2027 Plan</w:t>
      </w:r>
      <w:r w:rsidR="00530671">
        <w:rPr>
          <w:sz w:val="20"/>
          <w:szCs w:val="20"/>
          <w:lang w:val="en-US"/>
        </w:rPr>
        <w:t>,</w:t>
      </w:r>
      <w:r w:rsidRPr="0003355F">
        <w:rPr>
          <w:sz w:val="20"/>
          <w:szCs w:val="20"/>
          <w:lang w:val="en-US"/>
        </w:rPr>
        <w:t xml:space="preserve"> the</w:t>
      </w:r>
      <w:r w:rsidR="000019CD">
        <w:rPr>
          <w:sz w:val="20"/>
          <w:szCs w:val="20"/>
          <w:lang w:val="en-US"/>
        </w:rPr>
        <w:t xml:space="preserve"> </w:t>
      </w:r>
      <w:r w:rsidR="000019CD" w:rsidRPr="00EF49D2">
        <w:rPr>
          <w:b/>
          <w:bCs/>
          <w:sz w:val="20"/>
          <w:szCs w:val="20"/>
          <w:lang w:val="en-US"/>
        </w:rPr>
        <w:t>gross capex</w:t>
      </w:r>
      <w:r w:rsidR="000019CD">
        <w:rPr>
          <w:sz w:val="20"/>
          <w:szCs w:val="20"/>
          <w:lang w:val="en-US"/>
        </w:rPr>
        <w:t xml:space="preserve"> in the</w:t>
      </w:r>
      <w:r w:rsidRPr="0003355F">
        <w:rPr>
          <w:sz w:val="20"/>
          <w:szCs w:val="20"/>
          <w:lang w:val="en-US"/>
        </w:rPr>
        <w:t xml:space="preserve"> </w:t>
      </w:r>
      <w:r w:rsidRPr="0003355F">
        <w:rPr>
          <w:b/>
          <w:bCs/>
          <w:sz w:val="20"/>
          <w:szCs w:val="20"/>
          <w:lang w:val="en-US"/>
        </w:rPr>
        <w:t>Customers</w:t>
      </w:r>
      <w:r w:rsidRPr="0003355F">
        <w:rPr>
          <w:sz w:val="20"/>
          <w:szCs w:val="20"/>
          <w:lang w:val="en-US"/>
        </w:rPr>
        <w:t>’ segment</w:t>
      </w:r>
      <w:r w:rsidR="00295CB4">
        <w:rPr>
          <w:sz w:val="20"/>
          <w:szCs w:val="20"/>
          <w:lang w:val="en-US"/>
        </w:rPr>
        <w:t xml:space="preserve"> </w:t>
      </w:r>
      <w:r w:rsidR="00F9161C" w:rsidRPr="00EF49D2">
        <w:rPr>
          <w:b/>
          <w:bCs/>
          <w:sz w:val="20"/>
          <w:szCs w:val="20"/>
          <w:lang w:val="en-US"/>
        </w:rPr>
        <w:t>is</w:t>
      </w:r>
      <w:r w:rsidR="00295CB4" w:rsidRPr="00EF49D2">
        <w:rPr>
          <w:b/>
          <w:bCs/>
          <w:sz w:val="20"/>
          <w:szCs w:val="20"/>
          <w:lang w:val="en-US"/>
        </w:rPr>
        <w:t xml:space="preserve"> expected to amount to</w:t>
      </w:r>
      <w:r w:rsidR="00295CB4"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approximately</w:t>
      </w:r>
      <w:r w:rsidRPr="00D75563">
        <w:rPr>
          <w:b/>
          <w:bCs/>
          <w:sz w:val="20"/>
          <w:szCs w:val="20"/>
          <w:lang w:val="en-US"/>
        </w:rPr>
        <w:t xml:space="preserve"> </w:t>
      </w:r>
      <w:r w:rsidR="00633EC0">
        <w:rPr>
          <w:b/>
          <w:bCs/>
          <w:sz w:val="20"/>
          <w:szCs w:val="20"/>
          <w:lang w:val="en-US"/>
        </w:rPr>
        <w:t>2.7</w:t>
      </w:r>
      <w:r w:rsidR="00633EC0" w:rsidRPr="00D75563">
        <w:rPr>
          <w:b/>
          <w:bCs/>
          <w:sz w:val="20"/>
          <w:szCs w:val="20"/>
          <w:lang w:val="en-US"/>
        </w:rPr>
        <w:t xml:space="preserve"> </w:t>
      </w:r>
      <w:r w:rsidRPr="00D75563">
        <w:rPr>
          <w:b/>
          <w:bCs/>
          <w:sz w:val="20"/>
          <w:szCs w:val="20"/>
          <w:lang w:val="en-US"/>
        </w:rPr>
        <w:t>billion euros</w:t>
      </w:r>
      <w:r w:rsidR="00633EC0">
        <w:rPr>
          <w:sz w:val="20"/>
          <w:szCs w:val="20"/>
          <w:lang w:val="en-US"/>
        </w:rPr>
        <w:t xml:space="preserve">, </w:t>
      </w:r>
      <w:r w:rsidR="00494ED3">
        <w:rPr>
          <w:sz w:val="20"/>
          <w:szCs w:val="20"/>
          <w:lang w:val="en-US"/>
        </w:rPr>
        <w:t xml:space="preserve">around </w:t>
      </w:r>
      <w:r w:rsidR="00633EC0">
        <w:rPr>
          <w:sz w:val="20"/>
          <w:szCs w:val="20"/>
          <w:lang w:val="en-US"/>
        </w:rPr>
        <w:t>85% of which in countries where the Group has an integrated presence</w:t>
      </w:r>
      <w:r w:rsidR="00911BE4">
        <w:rPr>
          <w:sz w:val="20"/>
          <w:szCs w:val="20"/>
          <w:lang w:val="en-US"/>
        </w:rPr>
        <w:t>, offering</w:t>
      </w:r>
      <w:r w:rsidR="00633EC0">
        <w:rPr>
          <w:sz w:val="20"/>
          <w:szCs w:val="20"/>
          <w:lang w:val="en-US"/>
        </w:rPr>
        <w:t xml:space="preserve"> </w:t>
      </w:r>
      <w:r w:rsidR="00E56265">
        <w:rPr>
          <w:sz w:val="20"/>
          <w:szCs w:val="20"/>
          <w:lang w:val="en-US"/>
        </w:rPr>
        <w:t xml:space="preserve">a portfolio of </w:t>
      </w:r>
      <w:r w:rsidR="00911BE4">
        <w:rPr>
          <w:sz w:val="20"/>
          <w:szCs w:val="20"/>
          <w:lang w:val="en-US"/>
        </w:rPr>
        <w:t xml:space="preserve">bundled solutions </w:t>
      </w:r>
      <w:r w:rsidR="00E56265">
        <w:rPr>
          <w:sz w:val="20"/>
          <w:szCs w:val="20"/>
          <w:lang w:val="en-US"/>
        </w:rPr>
        <w:t>with</w:t>
      </w:r>
      <w:r w:rsidR="00911BE4">
        <w:rPr>
          <w:sz w:val="20"/>
          <w:szCs w:val="20"/>
          <w:lang w:val="en-US"/>
        </w:rPr>
        <w:t xml:space="preserve"> energy, products and services</w:t>
      </w:r>
      <w:r>
        <w:rPr>
          <w:sz w:val="20"/>
          <w:szCs w:val="20"/>
          <w:lang w:val="en-US"/>
        </w:rPr>
        <w:t xml:space="preserve">. </w:t>
      </w:r>
    </w:p>
    <w:p w14:paraId="1EC66025" w14:textId="77777777" w:rsidR="008B6ADA" w:rsidRDefault="008B6ADA" w:rsidP="00B711F7">
      <w:pPr>
        <w:pStyle w:val="Default"/>
        <w:jc w:val="both"/>
        <w:rPr>
          <w:sz w:val="20"/>
          <w:szCs w:val="20"/>
          <w:lang w:val="en-US"/>
        </w:rPr>
      </w:pPr>
    </w:p>
    <w:p w14:paraId="2823A047" w14:textId="30995C81" w:rsidR="008B6ADA" w:rsidRDefault="0084174A" w:rsidP="00B711F7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</w:t>
      </w:r>
      <w:r w:rsidR="008B6ADA">
        <w:rPr>
          <w:sz w:val="20"/>
          <w:szCs w:val="20"/>
          <w:lang w:val="en-US"/>
        </w:rPr>
        <w:t xml:space="preserve">he Group expects to increase its </w:t>
      </w:r>
      <w:r w:rsidR="008B6ADA" w:rsidRPr="007C6DF6">
        <w:rPr>
          <w:b/>
          <w:bCs/>
          <w:sz w:val="20"/>
          <w:szCs w:val="20"/>
          <w:lang w:val="en-US"/>
        </w:rPr>
        <w:t>free</w:t>
      </w:r>
      <w:r w:rsidR="007825C9">
        <w:rPr>
          <w:b/>
          <w:bCs/>
          <w:sz w:val="20"/>
          <w:szCs w:val="20"/>
          <w:lang w:val="en-US"/>
        </w:rPr>
        <w:t>-</w:t>
      </w:r>
      <w:r w:rsidR="006461AC">
        <w:rPr>
          <w:b/>
          <w:bCs/>
          <w:sz w:val="20"/>
          <w:szCs w:val="20"/>
          <w:lang w:val="en-US"/>
        </w:rPr>
        <w:t xml:space="preserve">market </w:t>
      </w:r>
      <w:r w:rsidR="008B6ADA" w:rsidRPr="007C6DF6">
        <w:rPr>
          <w:b/>
          <w:bCs/>
          <w:sz w:val="20"/>
          <w:szCs w:val="20"/>
          <w:lang w:val="en-US"/>
        </w:rPr>
        <w:t>power customer base</w:t>
      </w:r>
      <w:r w:rsidR="007A157B">
        <w:rPr>
          <w:sz w:val="20"/>
          <w:szCs w:val="20"/>
          <w:lang w:val="en-US"/>
        </w:rPr>
        <w:t xml:space="preserve"> in Italy and Spain</w:t>
      </w:r>
      <w:r w:rsidR="005A3542">
        <w:rPr>
          <w:sz w:val="20"/>
          <w:szCs w:val="20"/>
          <w:lang w:val="en-US"/>
        </w:rPr>
        <w:t xml:space="preserve"> to </w:t>
      </w:r>
      <w:r w:rsidR="003D1D77">
        <w:rPr>
          <w:b/>
          <w:bCs/>
          <w:sz w:val="20"/>
          <w:szCs w:val="20"/>
          <w:lang w:val="en-US"/>
        </w:rPr>
        <w:t>over</w:t>
      </w:r>
      <w:r w:rsidR="003D1D77" w:rsidRPr="007C6DF6">
        <w:rPr>
          <w:b/>
          <w:bCs/>
          <w:sz w:val="20"/>
          <w:szCs w:val="20"/>
          <w:lang w:val="en-US"/>
        </w:rPr>
        <w:t xml:space="preserve"> </w:t>
      </w:r>
      <w:r w:rsidR="005A3542" w:rsidRPr="007C6DF6">
        <w:rPr>
          <w:b/>
          <w:bCs/>
          <w:sz w:val="20"/>
          <w:szCs w:val="20"/>
          <w:lang w:val="en-US"/>
        </w:rPr>
        <w:t xml:space="preserve">19 million </w:t>
      </w:r>
      <w:r w:rsidR="005A3542" w:rsidRPr="00124644">
        <w:rPr>
          <w:sz w:val="20"/>
          <w:szCs w:val="20"/>
          <w:lang w:val="en-US"/>
        </w:rPr>
        <w:t>in</w:t>
      </w:r>
      <w:r w:rsidR="005A3542" w:rsidRPr="007C6DF6">
        <w:rPr>
          <w:b/>
          <w:bCs/>
          <w:sz w:val="20"/>
          <w:szCs w:val="20"/>
          <w:lang w:val="en-US"/>
        </w:rPr>
        <w:t xml:space="preserve"> 2027</w:t>
      </w:r>
      <w:r w:rsidR="005A3542">
        <w:rPr>
          <w:sz w:val="20"/>
          <w:szCs w:val="20"/>
          <w:lang w:val="en-US"/>
        </w:rPr>
        <w:t>.</w:t>
      </w:r>
    </w:p>
    <w:p w14:paraId="496510AE" w14:textId="77777777" w:rsidR="00AD2DDB" w:rsidRDefault="00AD2DDB" w:rsidP="00B711F7">
      <w:pPr>
        <w:pStyle w:val="Default"/>
        <w:jc w:val="both"/>
        <w:rPr>
          <w:sz w:val="20"/>
          <w:szCs w:val="20"/>
          <w:lang w:val="en-US"/>
        </w:rPr>
      </w:pPr>
    </w:p>
    <w:p w14:paraId="7CEC4C80" w14:textId="77777777" w:rsidR="00F8462C" w:rsidRDefault="00F8462C" w:rsidP="00B711F7">
      <w:pPr>
        <w:pStyle w:val="Default"/>
        <w:jc w:val="both"/>
        <w:rPr>
          <w:i/>
          <w:iCs/>
          <w:sz w:val="20"/>
          <w:szCs w:val="20"/>
          <w:lang w:val="en-US"/>
        </w:rPr>
      </w:pPr>
    </w:p>
    <w:p w14:paraId="4C085248" w14:textId="77777777" w:rsidR="00F8462C" w:rsidRDefault="00F8462C" w:rsidP="00B711F7">
      <w:pPr>
        <w:pStyle w:val="Default"/>
        <w:jc w:val="both"/>
        <w:rPr>
          <w:i/>
          <w:iCs/>
          <w:sz w:val="20"/>
          <w:szCs w:val="20"/>
          <w:lang w:val="en-US"/>
        </w:rPr>
      </w:pPr>
    </w:p>
    <w:p w14:paraId="169B1C15" w14:textId="77777777" w:rsidR="00F8462C" w:rsidRDefault="00F8462C" w:rsidP="00B711F7">
      <w:pPr>
        <w:pStyle w:val="Default"/>
        <w:jc w:val="both"/>
        <w:rPr>
          <w:i/>
          <w:iCs/>
          <w:sz w:val="20"/>
          <w:szCs w:val="20"/>
          <w:lang w:val="en-US"/>
        </w:rPr>
      </w:pPr>
    </w:p>
    <w:p w14:paraId="539D0F3F" w14:textId="4BDA73D9" w:rsidR="00C6786F" w:rsidRPr="00C6786F" w:rsidRDefault="00C6786F" w:rsidP="00B711F7">
      <w:pPr>
        <w:pStyle w:val="Default"/>
        <w:jc w:val="both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lastRenderedPageBreak/>
        <w:t>Group Ordinary EBITDA</w:t>
      </w:r>
    </w:p>
    <w:p w14:paraId="0DEBEB60" w14:textId="77777777" w:rsidR="00C6786F" w:rsidRDefault="00C6786F" w:rsidP="00B711F7">
      <w:pPr>
        <w:pStyle w:val="Default"/>
        <w:jc w:val="both"/>
        <w:rPr>
          <w:sz w:val="20"/>
          <w:szCs w:val="20"/>
          <w:lang w:val="en-US"/>
        </w:rPr>
      </w:pPr>
    </w:p>
    <w:p w14:paraId="51654F45" w14:textId="186EEB70" w:rsidR="00865577" w:rsidRPr="00FF553C" w:rsidRDefault="00153C87" w:rsidP="00865577">
      <w:pPr>
        <w:pStyle w:val="Default"/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In the Plan period, </w:t>
      </w:r>
      <w:r w:rsidR="00865577">
        <w:rPr>
          <w:b/>
          <w:bCs/>
          <w:sz w:val="20"/>
          <w:szCs w:val="20"/>
          <w:lang w:val="en-US"/>
        </w:rPr>
        <w:t xml:space="preserve">Group cumulated </w:t>
      </w:r>
      <w:r w:rsidR="00865577" w:rsidRPr="009E3A95">
        <w:rPr>
          <w:b/>
          <w:bCs/>
          <w:sz w:val="20"/>
          <w:szCs w:val="20"/>
          <w:lang w:val="en-US"/>
        </w:rPr>
        <w:t xml:space="preserve">Ordinary EBITDA </w:t>
      </w:r>
      <w:r w:rsidR="00865577" w:rsidRPr="00124644">
        <w:rPr>
          <w:sz w:val="20"/>
          <w:szCs w:val="20"/>
          <w:lang w:val="en-US"/>
        </w:rPr>
        <w:t xml:space="preserve">is expected </w:t>
      </w:r>
      <w:r w:rsidR="00865577" w:rsidRPr="009E3A95">
        <w:rPr>
          <w:b/>
          <w:bCs/>
          <w:sz w:val="20"/>
          <w:szCs w:val="20"/>
          <w:lang w:val="en-US"/>
        </w:rPr>
        <w:t xml:space="preserve">to </w:t>
      </w:r>
      <w:r w:rsidR="00865577">
        <w:rPr>
          <w:b/>
          <w:bCs/>
          <w:sz w:val="20"/>
          <w:szCs w:val="20"/>
          <w:lang w:val="en-US"/>
        </w:rPr>
        <w:t>exceed</w:t>
      </w:r>
      <w:r w:rsidR="00865577" w:rsidRPr="009E3A95">
        <w:rPr>
          <w:b/>
          <w:bCs/>
          <w:sz w:val="20"/>
          <w:szCs w:val="20"/>
          <w:lang w:val="en-US"/>
        </w:rPr>
        <w:t xml:space="preserve"> </w:t>
      </w:r>
      <w:r w:rsidR="00865577">
        <w:rPr>
          <w:b/>
          <w:bCs/>
          <w:sz w:val="20"/>
          <w:szCs w:val="20"/>
          <w:lang w:val="en-US"/>
        </w:rPr>
        <w:t>70</w:t>
      </w:r>
      <w:r w:rsidR="00865577" w:rsidRPr="009E3A95">
        <w:rPr>
          <w:b/>
          <w:bCs/>
          <w:sz w:val="20"/>
          <w:szCs w:val="20"/>
          <w:lang w:val="en-US"/>
        </w:rPr>
        <w:t xml:space="preserve"> billion euros</w:t>
      </w:r>
      <w:r w:rsidR="00865577" w:rsidRPr="00FE1F88">
        <w:rPr>
          <w:sz w:val="20"/>
          <w:szCs w:val="20"/>
          <w:lang w:val="en-US"/>
        </w:rPr>
        <w:t xml:space="preserve">, </w:t>
      </w:r>
      <w:r w:rsidR="00865577">
        <w:rPr>
          <w:sz w:val="20"/>
          <w:szCs w:val="20"/>
          <w:lang w:val="en-US"/>
        </w:rPr>
        <w:t xml:space="preserve">around </w:t>
      </w:r>
      <w:r w:rsidR="00865577" w:rsidRPr="00124644">
        <w:rPr>
          <w:b/>
          <w:bCs/>
          <w:sz w:val="20"/>
          <w:szCs w:val="20"/>
          <w:lang w:val="en-US"/>
        </w:rPr>
        <w:t>90%</w:t>
      </w:r>
      <w:r w:rsidR="00865577">
        <w:rPr>
          <w:sz w:val="20"/>
          <w:szCs w:val="20"/>
          <w:lang w:val="en-US"/>
        </w:rPr>
        <w:t xml:space="preserve"> of which (about </w:t>
      </w:r>
      <w:r w:rsidR="00865577" w:rsidRPr="00FF553C">
        <w:rPr>
          <w:sz w:val="20"/>
          <w:szCs w:val="20"/>
          <w:lang w:val="en-US"/>
        </w:rPr>
        <w:t>6</w:t>
      </w:r>
      <w:r w:rsidR="00B26A37">
        <w:rPr>
          <w:sz w:val="20"/>
          <w:szCs w:val="20"/>
          <w:lang w:val="en-US"/>
        </w:rPr>
        <w:t>4</w:t>
      </w:r>
      <w:r w:rsidR="00865577">
        <w:rPr>
          <w:sz w:val="20"/>
          <w:szCs w:val="20"/>
          <w:lang w:val="en-US"/>
        </w:rPr>
        <w:t xml:space="preserve"> billion euros) </w:t>
      </w:r>
      <w:r w:rsidR="0022601F">
        <w:rPr>
          <w:sz w:val="20"/>
          <w:szCs w:val="20"/>
          <w:lang w:val="en-US"/>
        </w:rPr>
        <w:t>will</w:t>
      </w:r>
      <w:r w:rsidR="00865577">
        <w:rPr>
          <w:sz w:val="20"/>
          <w:szCs w:val="20"/>
          <w:lang w:val="en-US"/>
        </w:rPr>
        <w:t xml:space="preserve"> result</w:t>
      </w:r>
      <w:r w:rsidR="00865577" w:rsidRPr="00FF553C">
        <w:rPr>
          <w:sz w:val="20"/>
          <w:szCs w:val="20"/>
          <w:lang w:val="en-US"/>
        </w:rPr>
        <w:t xml:space="preserve"> from </w:t>
      </w:r>
      <w:r w:rsidR="00865577" w:rsidRPr="00124644">
        <w:rPr>
          <w:b/>
          <w:bCs/>
          <w:sz w:val="20"/>
          <w:szCs w:val="20"/>
          <w:lang w:val="en-US"/>
        </w:rPr>
        <w:t>regulated or contracted activities</w:t>
      </w:r>
      <w:r w:rsidR="00865577">
        <w:rPr>
          <w:sz w:val="20"/>
          <w:szCs w:val="20"/>
          <w:lang w:val="en-US"/>
        </w:rPr>
        <w:t>, reducing risks and enhancing visibility on future results</w:t>
      </w:r>
      <w:r w:rsidR="00576BC4">
        <w:rPr>
          <w:sz w:val="20"/>
          <w:szCs w:val="20"/>
          <w:lang w:val="en-US"/>
        </w:rPr>
        <w:t>. More specifically, the Group expects</w:t>
      </w:r>
      <w:r w:rsidR="00865577" w:rsidRPr="00FF553C">
        <w:rPr>
          <w:sz w:val="20"/>
          <w:szCs w:val="20"/>
          <w:lang w:val="en-US"/>
        </w:rPr>
        <w:t>:</w:t>
      </w:r>
    </w:p>
    <w:p w14:paraId="369EDB11" w14:textId="1FF55EFE" w:rsidR="00865577" w:rsidRPr="00FF553C" w:rsidRDefault="00865577" w:rsidP="00865577">
      <w:pPr>
        <w:pStyle w:val="Default"/>
        <w:numPr>
          <w:ilvl w:val="0"/>
          <w:numId w:val="3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approximately</w:t>
      </w:r>
      <w:r w:rsidRPr="00FF553C">
        <w:rPr>
          <w:sz w:val="20"/>
          <w:szCs w:val="20"/>
          <w:lang w:val="en-US"/>
        </w:rPr>
        <w:t xml:space="preserve"> 27 </w:t>
      </w:r>
      <w:r>
        <w:rPr>
          <w:sz w:val="20"/>
          <w:szCs w:val="20"/>
          <w:lang w:val="en-US"/>
        </w:rPr>
        <w:t>billion euros</w:t>
      </w:r>
      <w:r w:rsidRPr="00FF553C">
        <w:rPr>
          <w:sz w:val="20"/>
          <w:szCs w:val="20"/>
          <w:lang w:val="en-US"/>
        </w:rPr>
        <w:t xml:space="preserve"> </w:t>
      </w:r>
      <w:r w:rsidR="00B26A37">
        <w:rPr>
          <w:sz w:val="20"/>
          <w:szCs w:val="20"/>
          <w:lang w:val="en-US"/>
        </w:rPr>
        <w:t xml:space="preserve">addressed to </w:t>
      </w:r>
      <w:r w:rsidR="00837A76">
        <w:rPr>
          <w:sz w:val="20"/>
          <w:szCs w:val="20"/>
          <w:lang w:val="en-US"/>
        </w:rPr>
        <w:t>grid</w:t>
      </w:r>
      <w:r w:rsidR="00B26A37">
        <w:rPr>
          <w:sz w:val="20"/>
          <w:szCs w:val="20"/>
          <w:lang w:val="en-US"/>
        </w:rPr>
        <w:t>s</w:t>
      </w:r>
      <w:r w:rsidR="00576BC4">
        <w:rPr>
          <w:sz w:val="20"/>
          <w:szCs w:val="20"/>
          <w:lang w:val="en-US"/>
        </w:rPr>
        <w:t>;</w:t>
      </w:r>
    </w:p>
    <w:p w14:paraId="0746F338" w14:textId="2AF2AF30" w:rsidR="00865577" w:rsidRPr="00FF553C" w:rsidRDefault="00865577" w:rsidP="00865577">
      <w:pPr>
        <w:pStyle w:val="Default"/>
        <w:numPr>
          <w:ilvl w:val="0"/>
          <w:numId w:val="3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around 4 billion euros</w:t>
      </w:r>
      <w:r w:rsidRPr="00FF553C">
        <w:rPr>
          <w:sz w:val="20"/>
          <w:szCs w:val="20"/>
          <w:lang w:val="en-US"/>
        </w:rPr>
        <w:t xml:space="preserve"> related to power generation covered by</w:t>
      </w:r>
      <w:r w:rsidR="00CD4532">
        <w:rPr>
          <w:sz w:val="20"/>
          <w:szCs w:val="20"/>
          <w:lang w:val="en-US"/>
        </w:rPr>
        <w:t xml:space="preserve"> long-term</w:t>
      </w:r>
      <w:r w:rsidRPr="00FF553C">
        <w:rPr>
          <w:sz w:val="20"/>
          <w:szCs w:val="20"/>
          <w:lang w:val="en-US"/>
        </w:rPr>
        <w:t xml:space="preserve"> regulatory schemes</w:t>
      </w:r>
      <w:r>
        <w:rPr>
          <w:sz w:val="20"/>
          <w:szCs w:val="20"/>
          <w:lang w:val="en-US"/>
        </w:rPr>
        <w:t>;</w:t>
      </w:r>
    </w:p>
    <w:p w14:paraId="47ED6F3B" w14:textId="4E37CCBD" w:rsidR="00865577" w:rsidRPr="00FF553C" w:rsidRDefault="00865577" w:rsidP="00865577">
      <w:pPr>
        <w:pStyle w:val="Default"/>
        <w:numPr>
          <w:ilvl w:val="0"/>
          <w:numId w:val="3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approximately 23 billion euros</w:t>
      </w:r>
      <w:r w:rsidRPr="00FF553C">
        <w:rPr>
          <w:sz w:val="20"/>
          <w:szCs w:val="20"/>
          <w:lang w:val="en-US"/>
        </w:rPr>
        <w:t xml:space="preserve"> refer</w:t>
      </w:r>
      <w:r>
        <w:rPr>
          <w:sz w:val="20"/>
          <w:szCs w:val="20"/>
          <w:lang w:val="en-US"/>
        </w:rPr>
        <w:t>ring</w:t>
      </w:r>
      <w:r w:rsidRPr="00FF553C">
        <w:rPr>
          <w:sz w:val="20"/>
          <w:szCs w:val="20"/>
          <w:lang w:val="en-US"/>
        </w:rPr>
        <w:t xml:space="preserve"> to</w:t>
      </w:r>
      <w:r>
        <w:rPr>
          <w:sz w:val="20"/>
          <w:szCs w:val="20"/>
          <w:lang w:val="en-US"/>
        </w:rPr>
        <w:t xml:space="preserve"> Power Purchase Agreements (</w:t>
      </w:r>
      <w:r w:rsidRPr="00FF553C">
        <w:rPr>
          <w:sz w:val="20"/>
          <w:szCs w:val="20"/>
          <w:lang w:val="en-US"/>
        </w:rPr>
        <w:t>PPAs</w:t>
      </w:r>
      <w:r>
        <w:rPr>
          <w:sz w:val="20"/>
          <w:szCs w:val="20"/>
          <w:lang w:val="en-US"/>
        </w:rPr>
        <w:t>)</w:t>
      </w:r>
      <w:r w:rsidRPr="00FF553C">
        <w:rPr>
          <w:sz w:val="20"/>
          <w:szCs w:val="20"/>
          <w:lang w:val="en-US"/>
        </w:rPr>
        <w:t>, mainly in</w:t>
      </w:r>
      <w:r w:rsidR="006A12A6">
        <w:rPr>
          <w:sz w:val="20"/>
          <w:szCs w:val="20"/>
          <w:lang w:val="en-US"/>
        </w:rPr>
        <w:t xml:space="preserve"> </w:t>
      </w:r>
      <w:r w:rsidR="00B26A37">
        <w:rPr>
          <w:sz w:val="20"/>
          <w:szCs w:val="20"/>
          <w:lang w:val="en-US"/>
        </w:rPr>
        <w:t>Latin America and North America</w:t>
      </w:r>
      <w:r>
        <w:rPr>
          <w:sz w:val="20"/>
          <w:szCs w:val="20"/>
          <w:lang w:val="en-US"/>
        </w:rPr>
        <w:t>;</w:t>
      </w:r>
    </w:p>
    <w:p w14:paraId="033CDFE0" w14:textId="6A02E998" w:rsidR="00865577" w:rsidRPr="00865577" w:rsidRDefault="00865577" w:rsidP="00B711F7">
      <w:pPr>
        <w:pStyle w:val="Default"/>
        <w:numPr>
          <w:ilvl w:val="0"/>
          <w:numId w:val="36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about </w:t>
      </w:r>
      <w:r w:rsidR="00B91708">
        <w:rPr>
          <w:sz w:val="20"/>
          <w:szCs w:val="20"/>
          <w:lang w:val="en-US"/>
        </w:rPr>
        <w:t xml:space="preserve">10 </w:t>
      </w:r>
      <w:r>
        <w:rPr>
          <w:sz w:val="20"/>
          <w:szCs w:val="20"/>
          <w:lang w:val="en-US"/>
        </w:rPr>
        <w:t>billion euros</w:t>
      </w:r>
      <w:r w:rsidRPr="00FF553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relating</w:t>
      </w:r>
      <w:r w:rsidRPr="00FF553C">
        <w:rPr>
          <w:sz w:val="20"/>
          <w:szCs w:val="20"/>
          <w:lang w:val="en-US"/>
        </w:rPr>
        <w:t xml:space="preserve"> to </w:t>
      </w:r>
      <w:r w:rsidR="00F846FE">
        <w:rPr>
          <w:sz w:val="20"/>
          <w:szCs w:val="20"/>
          <w:lang w:val="en-US"/>
        </w:rPr>
        <w:t>end users with</w:t>
      </w:r>
      <w:r w:rsidRPr="00FF553C">
        <w:rPr>
          <w:sz w:val="20"/>
          <w:szCs w:val="20"/>
          <w:lang w:val="en-US"/>
        </w:rPr>
        <w:t xml:space="preserve"> volumes sold at fixed prices.</w:t>
      </w:r>
    </w:p>
    <w:p w14:paraId="4E28FF50" w14:textId="77777777" w:rsidR="00AD2DDB" w:rsidRDefault="00AD2DDB" w:rsidP="00B711F7">
      <w:pPr>
        <w:pStyle w:val="Default"/>
        <w:jc w:val="both"/>
        <w:rPr>
          <w:sz w:val="20"/>
          <w:szCs w:val="20"/>
          <w:lang w:val="en-US"/>
        </w:rPr>
      </w:pPr>
    </w:p>
    <w:p w14:paraId="2D2AA9B1" w14:textId="77777777" w:rsidR="00865577" w:rsidRDefault="00865577" w:rsidP="00B711F7">
      <w:pPr>
        <w:pStyle w:val="Default"/>
        <w:jc w:val="both"/>
        <w:rPr>
          <w:sz w:val="20"/>
          <w:szCs w:val="20"/>
          <w:lang w:val="en-US"/>
        </w:rPr>
      </w:pPr>
    </w:p>
    <w:p w14:paraId="1D922FDF" w14:textId="77777777" w:rsidR="00B711F7" w:rsidRDefault="00B711F7" w:rsidP="00B711F7">
      <w:pPr>
        <w:pStyle w:val="Default"/>
        <w:numPr>
          <w:ilvl w:val="0"/>
          <w:numId w:val="25"/>
        </w:numPr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Efficiency and effectiveness</w:t>
      </w:r>
      <w:r w:rsidRPr="00412F85">
        <w:rPr>
          <w:sz w:val="20"/>
          <w:szCs w:val="20"/>
          <w:lang w:val="en-US"/>
        </w:rPr>
        <w:t xml:space="preserve"> </w:t>
      </w:r>
    </w:p>
    <w:p w14:paraId="0C433264" w14:textId="77777777" w:rsidR="00B711F7" w:rsidRDefault="00B711F7" w:rsidP="00B711F7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1BE4D66D" w14:textId="171D3827" w:rsidR="009D79EF" w:rsidRDefault="00793127" w:rsidP="00247978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In </w:t>
      </w:r>
      <w:r w:rsidRPr="00124644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2027</w:t>
      </w:r>
      <w:r>
        <w:rPr>
          <w:rFonts w:ascii="Arial" w:eastAsia="Calibri" w:hAnsi="Arial" w:cs="Arial"/>
          <w:sz w:val="20"/>
          <w:szCs w:val="20"/>
          <w:lang w:val="en-US" w:eastAsia="en-US"/>
        </w:rPr>
        <w:t>, t</w:t>
      </w:r>
      <w:r w:rsidR="00981184">
        <w:rPr>
          <w:rFonts w:ascii="Arial" w:eastAsia="Calibri" w:hAnsi="Arial" w:cs="Arial"/>
          <w:sz w:val="20"/>
          <w:szCs w:val="20"/>
          <w:lang w:val="en-US" w:eastAsia="en-US"/>
        </w:rPr>
        <w:t>he Group plans to</w:t>
      </w:r>
      <w:r w:rsidR="009A7C1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8D6AB7">
        <w:rPr>
          <w:rFonts w:ascii="Arial" w:eastAsia="Calibri" w:hAnsi="Arial" w:cs="Arial"/>
          <w:sz w:val="20"/>
          <w:szCs w:val="20"/>
          <w:lang w:val="en-US" w:eastAsia="en-US"/>
        </w:rPr>
        <w:t>achieve</w:t>
      </w:r>
      <w:r w:rsidR="009A7C1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8D6AB7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efficiencies</w:t>
      </w:r>
      <w:r w:rsidR="0096109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</w:t>
      </w:r>
      <w:r w:rsidR="0096109B" w:rsidRPr="00124644">
        <w:rPr>
          <w:rFonts w:ascii="Arial" w:eastAsia="Calibri" w:hAnsi="Arial" w:cs="Arial"/>
          <w:sz w:val="20"/>
          <w:szCs w:val="20"/>
          <w:lang w:val="en-US" w:eastAsia="en-US"/>
        </w:rPr>
        <w:t>of</w:t>
      </w:r>
      <w:r w:rsidR="0096109B" w:rsidRPr="0096109B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F846FE">
        <w:rPr>
          <w:rFonts w:ascii="Arial" w:eastAsia="Calibri" w:hAnsi="Arial" w:cs="Arial"/>
          <w:sz w:val="20"/>
          <w:szCs w:val="20"/>
          <w:lang w:val="en-US" w:eastAsia="en-US"/>
        </w:rPr>
        <w:t xml:space="preserve">around </w:t>
      </w:r>
      <w:r w:rsidR="009A7C16" w:rsidRPr="00865577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1.5 billion euro</w:t>
      </w:r>
      <w:r w:rsidR="0096109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s</w:t>
      </w:r>
      <w:r w:rsidR="009A7C16" w:rsidRPr="00865577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</w:t>
      </w:r>
      <w:r w:rsidR="009A7C16">
        <w:rPr>
          <w:rFonts w:ascii="Arial" w:eastAsia="Calibri" w:hAnsi="Arial" w:cs="Arial"/>
          <w:sz w:val="20"/>
          <w:szCs w:val="20"/>
          <w:lang w:val="en-US" w:eastAsia="en-US"/>
        </w:rPr>
        <w:t>on the 2022 baseline</w:t>
      </w:r>
      <w:r w:rsidR="00AF2D91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 w:rsidR="00444AF3">
        <w:rPr>
          <w:rFonts w:ascii="Arial" w:eastAsia="Calibri" w:hAnsi="Arial" w:cs="Arial"/>
          <w:sz w:val="20"/>
          <w:szCs w:val="20"/>
          <w:lang w:val="en-US" w:eastAsia="en-US"/>
        </w:rPr>
        <w:t>increasing the target by</w:t>
      </w:r>
      <w:r w:rsidR="00F846FE">
        <w:rPr>
          <w:rFonts w:ascii="Arial" w:eastAsia="Calibri" w:hAnsi="Arial" w:cs="Arial"/>
          <w:sz w:val="20"/>
          <w:szCs w:val="20"/>
          <w:lang w:val="en-US" w:eastAsia="en-US"/>
        </w:rPr>
        <w:t xml:space="preserve"> about</w:t>
      </w:r>
      <w:r w:rsidR="00444AF3">
        <w:rPr>
          <w:rFonts w:ascii="Arial" w:eastAsia="Calibri" w:hAnsi="Arial" w:cs="Arial"/>
          <w:sz w:val="20"/>
          <w:szCs w:val="20"/>
          <w:lang w:val="en-US" w:eastAsia="en-US"/>
        </w:rPr>
        <w:t xml:space="preserve"> 500 million euros compared to the previous Plan, by continuing process optimization and the</w:t>
      </w:r>
      <w:r w:rsidR="009A7C1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7978" w:rsidRPr="00247978">
        <w:rPr>
          <w:rFonts w:ascii="Arial" w:eastAsia="Calibri" w:hAnsi="Arial" w:cs="Arial"/>
          <w:sz w:val="20"/>
          <w:szCs w:val="20"/>
          <w:lang w:val="en-US" w:eastAsia="en-US"/>
        </w:rPr>
        <w:t>insourcing of external activities.</w:t>
      </w:r>
      <w:r w:rsidR="00AF2D91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</w:p>
    <w:p w14:paraId="500742CA" w14:textId="77777777" w:rsidR="009D79EF" w:rsidRDefault="009D79EF" w:rsidP="00247978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64B937A5" w14:textId="0CC863A8" w:rsidR="00EC46B8" w:rsidRDefault="00CA72C6" w:rsidP="00247978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Furthermore, </w:t>
      </w:r>
      <w:r w:rsidR="00FB23AB">
        <w:rPr>
          <w:rFonts w:ascii="Arial" w:eastAsia="Calibri" w:hAnsi="Arial" w:cs="Arial"/>
          <w:sz w:val="20"/>
          <w:szCs w:val="20"/>
          <w:lang w:val="en-US" w:eastAsia="en-US"/>
        </w:rPr>
        <w:t>e</w:t>
      </w:r>
      <w:r w:rsidR="00EC46B8" w:rsidRPr="00EC46B8">
        <w:rPr>
          <w:rFonts w:ascii="Arial" w:eastAsia="Calibri" w:hAnsi="Arial" w:cs="Arial"/>
          <w:sz w:val="20"/>
          <w:szCs w:val="20"/>
          <w:lang w:val="en-US" w:eastAsia="en-US"/>
        </w:rPr>
        <w:t>fficienc</w:t>
      </w:r>
      <w:r>
        <w:rPr>
          <w:rFonts w:ascii="Arial" w:eastAsia="Calibri" w:hAnsi="Arial" w:cs="Arial"/>
          <w:sz w:val="20"/>
          <w:szCs w:val="20"/>
          <w:lang w:val="en-US" w:eastAsia="en-US"/>
        </w:rPr>
        <w:t>ies</w:t>
      </w:r>
      <w:r w:rsidR="00EC46B8" w:rsidRPr="00EC46B8">
        <w:rPr>
          <w:rFonts w:ascii="Arial" w:eastAsia="Calibri" w:hAnsi="Arial" w:cs="Arial"/>
          <w:sz w:val="20"/>
          <w:szCs w:val="20"/>
          <w:lang w:val="en-US" w:eastAsia="en-US"/>
        </w:rPr>
        <w:t xml:space="preserve"> and value creation </w:t>
      </w:r>
      <w:r w:rsidR="00B26A37">
        <w:rPr>
          <w:rFonts w:ascii="Arial" w:eastAsia="Calibri" w:hAnsi="Arial" w:cs="Arial"/>
          <w:sz w:val="20"/>
          <w:szCs w:val="20"/>
          <w:lang w:val="en-US" w:eastAsia="en-US"/>
        </w:rPr>
        <w:t xml:space="preserve">can be achieved </w:t>
      </w:r>
      <w:r w:rsidR="00EC46B8" w:rsidRPr="00EC46B8">
        <w:rPr>
          <w:rFonts w:ascii="Arial" w:eastAsia="Calibri" w:hAnsi="Arial" w:cs="Arial"/>
          <w:sz w:val="20"/>
          <w:szCs w:val="20"/>
          <w:lang w:val="en-US" w:eastAsia="en-US"/>
        </w:rPr>
        <w:t xml:space="preserve">also through </w:t>
      </w:r>
      <w:r w:rsidR="00EC46B8" w:rsidRPr="00E3314A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innovation and new business models</w:t>
      </w:r>
      <w:r w:rsidR="00EC46B8" w:rsidRPr="00EC46B8">
        <w:rPr>
          <w:rFonts w:ascii="Arial" w:eastAsia="Calibri" w:hAnsi="Arial" w:cs="Arial"/>
          <w:sz w:val="20"/>
          <w:szCs w:val="20"/>
          <w:lang w:val="en-US" w:eastAsia="en-US"/>
        </w:rPr>
        <w:t>.</w:t>
      </w:r>
      <w:r w:rsidR="00FB23AB">
        <w:rPr>
          <w:rFonts w:ascii="Arial" w:eastAsia="Calibri" w:hAnsi="Arial" w:cs="Arial"/>
          <w:sz w:val="20"/>
          <w:szCs w:val="20"/>
          <w:lang w:val="en-US" w:eastAsia="en-US"/>
        </w:rPr>
        <w:t xml:space="preserve"> Specifically, the Group is</w:t>
      </w:r>
      <w:r w:rsidR="00EC46B8" w:rsidRPr="00EC46B8">
        <w:rPr>
          <w:rFonts w:ascii="Arial" w:eastAsia="Calibri" w:hAnsi="Arial" w:cs="Arial"/>
          <w:sz w:val="20"/>
          <w:szCs w:val="20"/>
          <w:lang w:val="en-US" w:eastAsia="en-US"/>
        </w:rPr>
        <w:t xml:space="preserve"> setting</w:t>
      </w:r>
      <w:r w:rsidR="00613761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EC46B8" w:rsidRPr="00EC46B8">
        <w:rPr>
          <w:rFonts w:ascii="Arial" w:eastAsia="Calibri" w:hAnsi="Arial" w:cs="Arial"/>
          <w:sz w:val="20"/>
          <w:szCs w:val="20"/>
          <w:lang w:val="en-US" w:eastAsia="en-US"/>
        </w:rPr>
        <w:t xml:space="preserve">up a </w:t>
      </w:r>
      <w:r w:rsidR="00EC46B8" w:rsidRPr="00E3314A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NewCo</w:t>
      </w:r>
      <w:r w:rsidR="00EC46B8" w:rsidRPr="00EC46B8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47D70">
        <w:rPr>
          <w:rFonts w:ascii="Arial" w:eastAsia="Calibri" w:hAnsi="Arial" w:cs="Arial"/>
          <w:sz w:val="20"/>
          <w:szCs w:val="20"/>
          <w:lang w:val="en-US" w:eastAsia="en-US"/>
        </w:rPr>
        <w:t>aimed at</w:t>
      </w:r>
      <w:r w:rsidR="00995DAD">
        <w:rPr>
          <w:rFonts w:ascii="Arial" w:eastAsia="Calibri" w:hAnsi="Arial" w:cs="Arial"/>
          <w:sz w:val="20"/>
          <w:szCs w:val="20"/>
          <w:lang w:val="en-US" w:eastAsia="en-US"/>
        </w:rPr>
        <w:t xml:space="preserve"> consolidat</w:t>
      </w:r>
      <w:r w:rsidR="00247D70">
        <w:rPr>
          <w:rFonts w:ascii="Arial" w:eastAsia="Calibri" w:hAnsi="Arial" w:cs="Arial"/>
          <w:sz w:val="20"/>
          <w:szCs w:val="20"/>
          <w:lang w:val="en-US" w:eastAsia="en-US"/>
        </w:rPr>
        <w:t>ing</w:t>
      </w:r>
      <w:r w:rsidR="00995DAD" w:rsidRPr="00EC46B8">
        <w:rPr>
          <w:rFonts w:ascii="Arial" w:eastAsia="Calibri" w:hAnsi="Arial" w:cs="Arial"/>
          <w:sz w:val="20"/>
          <w:szCs w:val="20"/>
          <w:lang w:val="en-US" w:eastAsia="en-US"/>
        </w:rPr>
        <w:t xml:space="preserve"> existing and new </w:t>
      </w:r>
      <w:r w:rsidR="00613761">
        <w:rPr>
          <w:rFonts w:ascii="Arial" w:eastAsia="Calibri" w:hAnsi="Arial" w:cs="Arial"/>
          <w:sz w:val="20"/>
          <w:szCs w:val="20"/>
          <w:lang w:val="en-US" w:eastAsia="en-US"/>
        </w:rPr>
        <w:t xml:space="preserve">connection </w:t>
      </w:r>
      <w:r w:rsidR="00995DAD" w:rsidRPr="00EC46B8">
        <w:rPr>
          <w:rFonts w:ascii="Arial" w:eastAsia="Calibri" w:hAnsi="Arial" w:cs="Arial"/>
          <w:sz w:val="20"/>
          <w:szCs w:val="20"/>
          <w:lang w:val="en-US" w:eastAsia="en-US"/>
        </w:rPr>
        <w:t>assets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that are </w:t>
      </w:r>
      <w:r w:rsidR="00995DAD" w:rsidRPr="00EC46B8">
        <w:rPr>
          <w:rFonts w:ascii="Arial" w:eastAsia="Calibri" w:hAnsi="Arial" w:cs="Arial"/>
          <w:sz w:val="20"/>
          <w:szCs w:val="20"/>
          <w:lang w:val="en-US" w:eastAsia="en-US"/>
        </w:rPr>
        <w:t>both proprietary and of third parties,</w:t>
      </w:r>
      <w:r w:rsidR="00995DAD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995DAD" w:rsidRPr="00EC46B8">
        <w:rPr>
          <w:rFonts w:ascii="Arial" w:eastAsia="Calibri" w:hAnsi="Arial" w:cs="Arial"/>
          <w:sz w:val="20"/>
          <w:szCs w:val="20"/>
          <w:lang w:val="en-US" w:eastAsia="en-US"/>
        </w:rPr>
        <w:t xml:space="preserve">handling </w:t>
      </w:r>
      <w:r w:rsidR="00995DAD">
        <w:rPr>
          <w:rFonts w:ascii="Arial" w:eastAsia="Calibri" w:hAnsi="Arial" w:cs="Arial"/>
          <w:sz w:val="20"/>
          <w:szCs w:val="20"/>
          <w:lang w:val="en-US" w:eastAsia="en-US"/>
        </w:rPr>
        <w:t>operation and ma</w:t>
      </w:r>
      <w:r w:rsidR="00393A09">
        <w:rPr>
          <w:rFonts w:ascii="Arial" w:eastAsia="Calibri" w:hAnsi="Arial" w:cs="Arial"/>
          <w:sz w:val="20"/>
          <w:szCs w:val="20"/>
          <w:lang w:val="en-US" w:eastAsia="en-US"/>
        </w:rPr>
        <w:t>intenance</w:t>
      </w:r>
      <w:r w:rsidR="00995DAD">
        <w:rPr>
          <w:rFonts w:ascii="Arial" w:eastAsia="Calibri" w:hAnsi="Arial" w:cs="Arial"/>
          <w:sz w:val="20"/>
          <w:szCs w:val="20"/>
          <w:lang w:val="en-US" w:eastAsia="en-US"/>
        </w:rPr>
        <w:t xml:space="preserve"> (</w:t>
      </w:r>
      <w:r w:rsidR="00995DAD" w:rsidRPr="00EC46B8">
        <w:rPr>
          <w:rFonts w:ascii="Arial" w:eastAsia="Calibri" w:hAnsi="Arial" w:cs="Arial"/>
          <w:sz w:val="20"/>
          <w:szCs w:val="20"/>
          <w:lang w:val="en-US" w:eastAsia="en-US"/>
        </w:rPr>
        <w:t>O&amp;M</w:t>
      </w:r>
      <w:r w:rsidR="00995DAD">
        <w:rPr>
          <w:rFonts w:ascii="Arial" w:eastAsia="Calibri" w:hAnsi="Arial" w:cs="Arial"/>
          <w:sz w:val="20"/>
          <w:szCs w:val="20"/>
          <w:lang w:val="en-US" w:eastAsia="en-US"/>
        </w:rPr>
        <w:t>)</w:t>
      </w:r>
      <w:r w:rsidR="00995DAD" w:rsidRPr="00EC46B8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613761">
        <w:rPr>
          <w:rFonts w:ascii="Arial" w:eastAsia="Calibri" w:hAnsi="Arial" w:cs="Arial"/>
          <w:sz w:val="20"/>
          <w:szCs w:val="20"/>
          <w:lang w:val="en-US" w:eastAsia="en-US"/>
        </w:rPr>
        <w:t>as well as</w:t>
      </w:r>
      <w:r w:rsidR="00995DAD" w:rsidRPr="00EC46B8">
        <w:rPr>
          <w:rFonts w:ascii="Arial" w:eastAsia="Calibri" w:hAnsi="Arial" w:cs="Arial"/>
          <w:sz w:val="20"/>
          <w:szCs w:val="20"/>
          <w:lang w:val="en-US" w:eastAsia="en-US"/>
        </w:rPr>
        <w:t xml:space="preserve"> construction activities</w:t>
      </w:r>
      <w:r w:rsidR="00A772D1">
        <w:rPr>
          <w:rFonts w:ascii="Arial" w:eastAsia="Calibri" w:hAnsi="Arial" w:cs="Arial"/>
          <w:sz w:val="20"/>
          <w:szCs w:val="20"/>
          <w:lang w:val="en-US" w:eastAsia="en-US"/>
        </w:rPr>
        <w:t xml:space="preserve">. </w:t>
      </w:r>
      <w:r w:rsidR="00BD76D4">
        <w:rPr>
          <w:rFonts w:ascii="Arial" w:eastAsia="Calibri" w:hAnsi="Arial" w:cs="Arial"/>
          <w:sz w:val="20"/>
          <w:szCs w:val="20"/>
          <w:lang w:val="en-US" w:eastAsia="en-US"/>
        </w:rPr>
        <w:t xml:space="preserve">Moreover, </w:t>
      </w:r>
      <w:r w:rsidR="00257BD4">
        <w:rPr>
          <w:rFonts w:ascii="Arial" w:eastAsia="Calibri" w:hAnsi="Arial" w:cs="Arial"/>
          <w:sz w:val="20"/>
          <w:szCs w:val="20"/>
          <w:lang w:val="en-US" w:eastAsia="en-US"/>
        </w:rPr>
        <w:t xml:space="preserve">the Group </w:t>
      </w:r>
      <w:r w:rsidR="009C1E5B">
        <w:rPr>
          <w:rFonts w:ascii="Arial" w:eastAsia="Calibri" w:hAnsi="Arial" w:cs="Arial"/>
          <w:sz w:val="20"/>
          <w:szCs w:val="20"/>
          <w:lang w:val="en-US" w:eastAsia="en-US"/>
        </w:rPr>
        <w:t xml:space="preserve">is </w:t>
      </w:r>
      <w:r w:rsidR="003E3D47">
        <w:rPr>
          <w:rFonts w:ascii="Arial" w:eastAsia="Calibri" w:hAnsi="Arial" w:cs="Arial"/>
          <w:sz w:val="20"/>
          <w:szCs w:val="20"/>
          <w:lang w:val="en-US" w:eastAsia="en-US"/>
        </w:rPr>
        <w:t>defining value</w:t>
      </w:r>
      <w:r w:rsidR="00984B55">
        <w:rPr>
          <w:rFonts w:ascii="Arial" w:eastAsia="Calibri" w:hAnsi="Arial" w:cs="Arial"/>
          <w:sz w:val="20"/>
          <w:szCs w:val="20"/>
          <w:lang w:val="en-US" w:eastAsia="en-US"/>
        </w:rPr>
        <w:t xml:space="preserve"> propositions</w:t>
      </w:r>
      <w:r w:rsidR="003E3D47">
        <w:rPr>
          <w:rFonts w:ascii="Arial" w:eastAsia="Calibri" w:hAnsi="Arial" w:cs="Arial"/>
          <w:sz w:val="20"/>
          <w:szCs w:val="20"/>
          <w:lang w:val="en-US" w:eastAsia="en-US"/>
        </w:rPr>
        <w:t xml:space="preserve"> in the fast-growing</w:t>
      </w:r>
      <w:r w:rsidR="00280FE3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EC46B8" w:rsidRPr="00E3314A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Data Center</w:t>
      </w:r>
      <w:r w:rsidR="003C4226" w:rsidRPr="00E3314A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</w:t>
      </w:r>
      <w:r w:rsidR="006F0A6D" w:rsidRPr="008013B3">
        <w:rPr>
          <w:rFonts w:ascii="Arial" w:eastAsia="Calibri" w:hAnsi="Arial" w:cs="Arial"/>
          <w:sz w:val="20"/>
          <w:szCs w:val="20"/>
          <w:lang w:val="en-US" w:eastAsia="en-US"/>
        </w:rPr>
        <w:t>sector</w:t>
      </w:r>
      <w:r w:rsidR="003C4226">
        <w:rPr>
          <w:rFonts w:ascii="Arial" w:eastAsia="Calibri" w:hAnsi="Arial" w:cs="Arial"/>
          <w:sz w:val="20"/>
          <w:szCs w:val="20"/>
          <w:lang w:val="en-US" w:eastAsia="en-US"/>
        </w:rPr>
        <w:t xml:space="preserve">, </w:t>
      </w:r>
      <w:r w:rsidR="006A17CC">
        <w:rPr>
          <w:rFonts w:ascii="Arial" w:eastAsia="Calibri" w:hAnsi="Arial" w:cs="Arial"/>
          <w:sz w:val="20"/>
          <w:szCs w:val="20"/>
          <w:lang w:val="en-US" w:eastAsia="en-US"/>
        </w:rPr>
        <w:t xml:space="preserve">in relation to which </w:t>
      </w:r>
      <w:r w:rsidR="00BB04AD">
        <w:rPr>
          <w:rFonts w:ascii="Arial" w:eastAsia="Calibri" w:hAnsi="Arial" w:cs="Arial"/>
          <w:sz w:val="20"/>
          <w:szCs w:val="20"/>
          <w:lang w:val="en-US" w:eastAsia="en-US"/>
        </w:rPr>
        <w:t xml:space="preserve">optimized </w:t>
      </w:r>
      <w:r w:rsidR="00993DC2">
        <w:rPr>
          <w:rFonts w:ascii="Arial" w:eastAsia="Calibri" w:hAnsi="Arial" w:cs="Arial"/>
          <w:sz w:val="20"/>
          <w:szCs w:val="20"/>
          <w:lang w:val="en-US" w:eastAsia="en-US"/>
        </w:rPr>
        <w:t xml:space="preserve">grid </w:t>
      </w:r>
      <w:r w:rsidR="003C4226">
        <w:rPr>
          <w:rFonts w:ascii="Arial" w:eastAsia="Calibri" w:hAnsi="Arial" w:cs="Arial"/>
          <w:sz w:val="20"/>
          <w:szCs w:val="20"/>
          <w:lang w:val="en-US" w:eastAsia="en-US"/>
        </w:rPr>
        <w:t xml:space="preserve">connection </w:t>
      </w:r>
      <w:r w:rsidR="00BB04AD">
        <w:rPr>
          <w:rFonts w:ascii="Arial" w:eastAsia="Calibri" w:hAnsi="Arial" w:cs="Arial"/>
          <w:sz w:val="20"/>
          <w:szCs w:val="20"/>
          <w:lang w:val="en-US" w:eastAsia="en-US"/>
        </w:rPr>
        <w:t>solutions</w:t>
      </w:r>
      <w:r w:rsidR="003C422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993DC2">
        <w:rPr>
          <w:rFonts w:ascii="Arial" w:eastAsia="Calibri" w:hAnsi="Arial" w:cs="Arial"/>
          <w:sz w:val="20"/>
          <w:szCs w:val="20"/>
          <w:lang w:val="en-US" w:eastAsia="en-US"/>
        </w:rPr>
        <w:t xml:space="preserve">and </w:t>
      </w:r>
      <w:r w:rsidR="003C4226">
        <w:rPr>
          <w:rFonts w:ascii="Arial" w:eastAsia="Calibri" w:hAnsi="Arial" w:cs="Arial"/>
          <w:sz w:val="20"/>
          <w:szCs w:val="20"/>
          <w:lang w:val="en-US" w:eastAsia="en-US"/>
        </w:rPr>
        <w:t xml:space="preserve">integrated </w:t>
      </w:r>
      <w:r w:rsidR="00BD7BD7">
        <w:rPr>
          <w:rFonts w:ascii="Arial" w:eastAsia="Calibri" w:hAnsi="Arial" w:cs="Arial"/>
          <w:sz w:val="20"/>
          <w:szCs w:val="20"/>
          <w:lang w:val="en-US" w:eastAsia="en-US"/>
        </w:rPr>
        <w:t xml:space="preserve">renewable energy </w:t>
      </w:r>
      <w:r w:rsidR="003C4226">
        <w:rPr>
          <w:rFonts w:ascii="Arial" w:eastAsia="Calibri" w:hAnsi="Arial" w:cs="Arial"/>
          <w:sz w:val="20"/>
          <w:szCs w:val="20"/>
          <w:lang w:val="en-US" w:eastAsia="en-US"/>
        </w:rPr>
        <w:t>offers</w:t>
      </w:r>
      <w:r w:rsidR="006A17CC">
        <w:rPr>
          <w:rFonts w:ascii="Arial" w:eastAsia="Calibri" w:hAnsi="Arial" w:cs="Arial"/>
          <w:sz w:val="20"/>
          <w:szCs w:val="20"/>
          <w:lang w:val="en-US" w:eastAsia="en-US"/>
        </w:rPr>
        <w:t xml:space="preserve"> are expected</w:t>
      </w:r>
      <w:r w:rsidR="00EC46B8" w:rsidRPr="00EC46B8">
        <w:rPr>
          <w:rFonts w:ascii="Arial" w:eastAsia="Calibri" w:hAnsi="Arial" w:cs="Arial"/>
          <w:sz w:val="20"/>
          <w:szCs w:val="20"/>
          <w:lang w:val="en-US" w:eastAsia="en-US"/>
        </w:rPr>
        <w:t>.</w:t>
      </w:r>
      <w:r w:rsidR="00E47F9A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C217A">
        <w:rPr>
          <w:rFonts w:ascii="Arial" w:eastAsia="Calibri" w:hAnsi="Arial" w:cs="Arial"/>
          <w:sz w:val="20"/>
          <w:szCs w:val="20"/>
          <w:lang w:val="en-US" w:eastAsia="en-US"/>
        </w:rPr>
        <w:t>The associated p</w:t>
      </w:r>
      <w:r w:rsidR="00E47F9A">
        <w:rPr>
          <w:rFonts w:ascii="Arial" w:eastAsia="Calibri" w:hAnsi="Arial" w:cs="Arial"/>
          <w:sz w:val="20"/>
          <w:szCs w:val="20"/>
          <w:lang w:val="en-US" w:eastAsia="en-US"/>
        </w:rPr>
        <w:t>otential economic benefits are not included in the 2025-2027 Plan.</w:t>
      </w:r>
    </w:p>
    <w:p w14:paraId="0FA7D54E" w14:textId="77777777" w:rsidR="002C2D88" w:rsidRDefault="002C2D88" w:rsidP="00247978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51BC4C6A" w14:textId="77777777" w:rsidR="00B711F7" w:rsidRDefault="00B711F7" w:rsidP="00B711F7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3FCC6A2E" w14:textId="77777777" w:rsidR="00B711F7" w:rsidRPr="00402078" w:rsidRDefault="00B711F7" w:rsidP="00B711F7">
      <w:pPr>
        <w:numPr>
          <w:ilvl w:val="0"/>
          <w:numId w:val="25"/>
        </w:numPr>
        <w:jc w:val="both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  <w:r w:rsidRPr="00402078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Financial and environmental sustainability</w:t>
      </w:r>
    </w:p>
    <w:p w14:paraId="2012413A" w14:textId="77777777" w:rsidR="00B711F7" w:rsidRDefault="00B711F7" w:rsidP="00B711F7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3607B9DB" w14:textId="7EA28525" w:rsidR="00E3314A" w:rsidRDefault="00493DEF" w:rsidP="00E3314A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 w:rsidRPr="00A9482E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Financial equilibrium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A9482E">
        <w:rPr>
          <w:rFonts w:ascii="Arial" w:eastAsia="Calibri" w:hAnsi="Arial" w:cs="Arial"/>
          <w:sz w:val="20"/>
          <w:szCs w:val="20"/>
          <w:lang w:val="en-US" w:eastAsia="en-US"/>
        </w:rPr>
        <w:t>will continue to guide</w:t>
      </w:r>
      <w:r w:rsidRPr="00493DEF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the Group’s</w:t>
      </w:r>
      <w:r w:rsidRPr="00493DEF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B80387">
        <w:rPr>
          <w:rFonts w:ascii="Arial" w:eastAsia="Calibri" w:hAnsi="Arial" w:cs="Arial"/>
          <w:sz w:val="20"/>
          <w:szCs w:val="20"/>
          <w:lang w:val="en-US" w:eastAsia="en-US"/>
        </w:rPr>
        <w:t>strategy</w:t>
      </w:r>
      <w:r w:rsidRPr="00493DEF">
        <w:rPr>
          <w:rFonts w:ascii="Arial" w:eastAsia="Calibri" w:hAnsi="Arial" w:cs="Arial"/>
          <w:sz w:val="20"/>
          <w:szCs w:val="20"/>
          <w:lang w:val="en-US" w:eastAsia="en-US"/>
        </w:rPr>
        <w:t>.</w:t>
      </w:r>
      <w:r w:rsidR="00E27937">
        <w:rPr>
          <w:rFonts w:ascii="Arial" w:eastAsia="Calibri" w:hAnsi="Arial" w:cs="Arial"/>
          <w:sz w:val="20"/>
          <w:szCs w:val="20"/>
          <w:lang w:val="en-US" w:eastAsia="en-US"/>
        </w:rPr>
        <w:t xml:space="preserve"> Th</w:t>
      </w:r>
      <w:r w:rsidR="0021283B">
        <w:rPr>
          <w:rFonts w:ascii="Arial" w:eastAsia="Calibri" w:hAnsi="Arial" w:cs="Arial"/>
          <w:sz w:val="20"/>
          <w:szCs w:val="20"/>
          <w:lang w:val="en-US" w:eastAsia="en-US"/>
        </w:rPr>
        <w:t>rough the</w:t>
      </w:r>
      <w:r w:rsidR="00E27937">
        <w:rPr>
          <w:rFonts w:ascii="Arial" w:eastAsia="Calibri" w:hAnsi="Arial" w:cs="Arial"/>
          <w:sz w:val="20"/>
          <w:szCs w:val="20"/>
          <w:lang w:val="en-US" w:eastAsia="en-US"/>
        </w:rPr>
        <w:t xml:space="preserve"> results</w:t>
      </w:r>
      <w:r w:rsidR="00C42F9B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8E60B9">
        <w:rPr>
          <w:rFonts w:ascii="Arial" w:eastAsia="Calibri" w:hAnsi="Arial" w:cs="Arial"/>
          <w:sz w:val="20"/>
          <w:szCs w:val="20"/>
          <w:lang w:val="en-US" w:eastAsia="en-US"/>
        </w:rPr>
        <w:t>registered</w:t>
      </w:r>
      <w:r w:rsidR="00E27937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5505AD">
        <w:rPr>
          <w:rFonts w:ascii="Arial" w:eastAsia="Calibri" w:hAnsi="Arial" w:cs="Arial"/>
          <w:sz w:val="20"/>
          <w:szCs w:val="20"/>
          <w:lang w:val="en-US" w:eastAsia="en-US"/>
        </w:rPr>
        <w:t>and</w:t>
      </w:r>
      <w:r w:rsidR="00E27937">
        <w:rPr>
          <w:rFonts w:ascii="Arial" w:eastAsia="Calibri" w:hAnsi="Arial" w:cs="Arial"/>
          <w:sz w:val="20"/>
          <w:szCs w:val="20"/>
          <w:lang w:val="en-US" w:eastAsia="en-US"/>
        </w:rPr>
        <w:t xml:space="preserve"> the </w:t>
      </w:r>
      <w:r w:rsidR="00C42F9B">
        <w:rPr>
          <w:rFonts w:ascii="Arial" w:eastAsia="Calibri" w:hAnsi="Arial" w:cs="Arial"/>
          <w:sz w:val="20"/>
          <w:szCs w:val="20"/>
          <w:lang w:val="en-US" w:eastAsia="en-US"/>
        </w:rPr>
        <w:t xml:space="preserve">completion </w:t>
      </w:r>
      <w:r w:rsidR="00E27937">
        <w:rPr>
          <w:rFonts w:ascii="Arial" w:eastAsia="Calibri" w:hAnsi="Arial" w:cs="Arial"/>
          <w:sz w:val="20"/>
          <w:szCs w:val="20"/>
          <w:lang w:val="en-US" w:eastAsia="en-US"/>
        </w:rPr>
        <w:t xml:space="preserve">of the </w:t>
      </w:r>
      <w:r w:rsidR="00941C6A">
        <w:rPr>
          <w:rFonts w:ascii="Arial" w:eastAsia="Calibri" w:hAnsi="Arial" w:cs="Arial"/>
          <w:sz w:val="20"/>
          <w:szCs w:val="20"/>
          <w:lang w:val="en-US" w:eastAsia="en-US"/>
        </w:rPr>
        <w:t>disposal</w:t>
      </w:r>
      <w:r w:rsidR="00E27937">
        <w:rPr>
          <w:rFonts w:ascii="Arial" w:eastAsia="Calibri" w:hAnsi="Arial" w:cs="Arial"/>
          <w:sz w:val="20"/>
          <w:szCs w:val="20"/>
          <w:lang w:val="en-US" w:eastAsia="en-US"/>
        </w:rPr>
        <w:t xml:space="preserve"> plan</w:t>
      </w:r>
      <w:r w:rsidR="00F52EF0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932105">
        <w:rPr>
          <w:rFonts w:ascii="Arial" w:eastAsia="Calibri" w:hAnsi="Arial" w:cs="Arial"/>
          <w:sz w:val="20"/>
          <w:szCs w:val="20"/>
          <w:lang w:val="en-US" w:eastAsia="en-US"/>
        </w:rPr>
        <w:t xml:space="preserve">that was </w:t>
      </w:r>
      <w:r w:rsidR="009C2000">
        <w:rPr>
          <w:rFonts w:ascii="Arial" w:eastAsia="Calibri" w:hAnsi="Arial" w:cs="Arial"/>
          <w:sz w:val="20"/>
          <w:szCs w:val="20"/>
          <w:lang w:val="en-US" w:eastAsia="en-US"/>
        </w:rPr>
        <w:t>re-engineered last year</w:t>
      </w:r>
      <w:r w:rsidR="0021283B">
        <w:rPr>
          <w:rFonts w:ascii="Arial" w:eastAsia="Calibri" w:hAnsi="Arial" w:cs="Arial"/>
          <w:sz w:val="20"/>
          <w:szCs w:val="20"/>
          <w:lang w:val="en-US" w:eastAsia="en-US"/>
        </w:rPr>
        <w:t>,</w:t>
      </w:r>
      <w:r w:rsidR="00E27937">
        <w:rPr>
          <w:rFonts w:ascii="Arial" w:eastAsia="Calibri" w:hAnsi="Arial" w:cs="Arial"/>
          <w:sz w:val="20"/>
          <w:szCs w:val="20"/>
          <w:lang w:val="en-US" w:eastAsia="en-US"/>
        </w:rPr>
        <w:t xml:space="preserve"> the Group</w:t>
      </w:r>
      <w:r w:rsidR="0021283B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F646CD">
        <w:rPr>
          <w:rFonts w:ascii="Arial" w:eastAsia="Calibri" w:hAnsi="Arial" w:cs="Arial"/>
          <w:sz w:val="20"/>
          <w:szCs w:val="20"/>
          <w:lang w:val="en-US" w:eastAsia="en-US"/>
        </w:rPr>
        <w:t xml:space="preserve">achieved its deleverage </w:t>
      </w:r>
      <w:r w:rsidR="002F6B12">
        <w:rPr>
          <w:rFonts w:ascii="Arial" w:eastAsia="Calibri" w:hAnsi="Arial" w:cs="Arial"/>
          <w:sz w:val="20"/>
          <w:szCs w:val="20"/>
          <w:lang w:val="en-US" w:eastAsia="en-US"/>
        </w:rPr>
        <w:t>objective</w:t>
      </w:r>
      <w:r w:rsidR="00F646CD">
        <w:rPr>
          <w:rFonts w:ascii="Arial" w:eastAsia="Calibri" w:hAnsi="Arial" w:cs="Arial"/>
          <w:sz w:val="20"/>
          <w:szCs w:val="20"/>
          <w:lang w:val="en-US" w:eastAsia="en-US"/>
        </w:rPr>
        <w:t>, with</w:t>
      </w:r>
      <w:r w:rsidR="00E27937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21283B">
        <w:rPr>
          <w:rFonts w:ascii="Arial" w:eastAsia="Calibri" w:hAnsi="Arial" w:cs="Arial"/>
          <w:sz w:val="20"/>
          <w:szCs w:val="20"/>
          <w:lang w:val="en-US" w:eastAsia="en-US"/>
        </w:rPr>
        <w:t xml:space="preserve">a </w:t>
      </w:r>
      <w:r w:rsidR="0021283B" w:rsidRPr="00344FD6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Net </w:t>
      </w:r>
      <w:r w:rsidR="00B16EAC" w:rsidRPr="00344FD6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Financial </w:t>
      </w:r>
      <w:r w:rsidR="0021283B" w:rsidRPr="00344FD6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Debt/EBITDA ratio </w:t>
      </w:r>
      <w:r w:rsidR="00F646CD" w:rsidRPr="00344FD6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expected at </w:t>
      </w:r>
      <w:r w:rsidR="0021283B" w:rsidRPr="00344FD6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around 2.4x </w:t>
      </w:r>
      <w:r w:rsidR="00E27937" w:rsidRPr="00344FD6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a</w:t>
      </w:r>
      <w:r w:rsidR="00D83093" w:rsidRPr="00344FD6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t the end of 2024</w:t>
      </w:r>
      <w:r w:rsidR="00D83093">
        <w:rPr>
          <w:rFonts w:ascii="Arial" w:eastAsia="Calibri" w:hAnsi="Arial" w:cs="Arial"/>
          <w:sz w:val="20"/>
          <w:szCs w:val="20"/>
          <w:lang w:val="en-US" w:eastAsia="en-US"/>
        </w:rPr>
        <w:t>,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FF04C1">
        <w:rPr>
          <w:rFonts w:ascii="Arial" w:eastAsia="Calibri" w:hAnsi="Arial" w:cs="Arial"/>
          <w:sz w:val="20"/>
          <w:szCs w:val="20"/>
          <w:lang w:val="en-US" w:eastAsia="en-US"/>
        </w:rPr>
        <w:t>compared with 3.1x in 2022</w:t>
      </w:r>
      <w:r w:rsidR="00E17CC4">
        <w:rPr>
          <w:rFonts w:ascii="Arial" w:eastAsia="Calibri" w:hAnsi="Arial" w:cs="Arial"/>
          <w:sz w:val="20"/>
          <w:szCs w:val="20"/>
          <w:lang w:val="en-US" w:eastAsia="en-US"/>
        </w:rPr>
        <w:t>, a</w:t>
      </w:r>
      <w:r w:rsidR="00B80387">
        <w:rPr>
          <w:rFonts w:ascii="Arial" w:eastAsia="Calibri" w:hAnsi="Arial" w:cs="Arial"/>
          <w:sz w:val="20"/>
          <w:szCs w:val="20"/>
          <w:lang w:val="en-US" w:eastAsia="en-US"/>
        </w:rPr>
        <w:t xml:space="preserve"> much lower</w:t>
      </w:r>
      <w:r w:rsidR="00E17CC4">
        <w:rPr>
          <w:rFonts w:ascii="Arial" w:eastAsia="Calibri" w:hAnsi="Arial" w:cs="Arial"/>
          <w:sz w:val="20"/>
          <w:szCs w:val="20"/>
          <w:lang w:val="en-US" w:eastAsia="en-US"/>
        </w:rPr>
        <w:t xml:space="preserve"> level</w:t>
      </w:r>
      <w:r w:rsidR="00B80387">
        <w:rPr>
          <w:rFonts w:ascii="Arial" w:eastAsia="Calibri" w:hAnsi="Arial" w:cs="Arial"/>
          <w:sz w:val="20"/>
          <w:szCs w:val="20"/>
          <w:lang w:val="en-US" w:eastAsia="en-US"/>
        </w:rPr>
        <w:t xml:space="preserve"> than </w:t>
      </w:r>
      <w:r w:rsidR="00EF1F5A">
        <w:rPr>
          <w:rFonts w:ascii="Arial" w:eastAsia="Calibri" w:hAnsi="Arial" w:cs="Arial"/>
          <w:sz w:val="20"/>
          <w:szCs w:val="20"/>
          <w:lang w:val="en-US" w:eastAsia="en-US"/>
        </w:rPr>
        <w:t>that of</w:t>
      </w:r>
      <w:r w:rsidR="00F0191E">
        <w:rPr>
          <w:rFonts w:ascii="Arial" w:eastAsia="Calibri" w:hAnsi="Arial" w:cs="Arial"/>
          <w:sz w:val="20"/>
          <w:szCs w:val="20"/>
          <w:lang w:val="en-US" w:eastAsia="en-US"/>
        </w:rPr>
        <w:t xml:space="preserve"> its</w:t>
      </w:r>
      <w:r w:rsidR="00EF1F5A">
        <w:rPr>
          <w:rFonts w:ascii="Arial" w:eastAsia="Calibri" w:hAnsi="Arial" w:cs="Arial"/>
          <w:sz w:val="20"/>
          <w:szCs w:val="20"/>
          <w:lang w:val="en-US" w:eastAsia="en-US"/>
        </w:rPr>
        <w:t xml:space="preserve"> peers</w:t>
      </w:r>
      <w:r w:rsidR="007A1B30">
        <w:rPr>
          <w:rFonts w:ascii="Arial" w:eastAsia="Calibri" w:hAnsi="Arial" w:cs="Arial"/>
          <w:sz w:val="20"/>
          <w:szCs w:val="20"/>
          <w:lang w:val="en-US" w:eastAsia="en-US"/>
        </w:rPr>
        <w:t xml:space="preserve"> (</w:t>
      </w:r>
      <w:r w:rsidR="00513D93">
        <w:rPr>
          <w:rFonts w:ascii="Arial" w:eastAsia="Calibri" w:hAnsi="Arial" w:cs="Arial"/>
          <w:sz w:val="20"/>
          <w:szCs w:val="20"/>
          <w:lang w:val="en-US" w:eastAsia="en-US"/>
        </w:rPr>
        <w:t xml:space="preserve">with a sector average of </w:t>
      </w:r>
      <w:r w:rsidR="007A1B30">
        <w:rPr>
          <w:rFonts w:ascii="Arial" w:eastAsia="Calibri" w:hAnsi="Arial" w:cs="Arial"/>
          <w:sz w:val="20"/>
          <w:szCs w:val="20"/>
          <w:lang w:val="en-US" w:eastAsia="en-US"/>
        </w:rPr>
        <w:t>around 3.</w:t>
      </w:r>
      <w:r w:rsidR="00DB1CCA">
        <w:rPr>
          <w:rFonts w:ascii="Arial" w:eastAsia="Calibri" w:hAnsi="Arial" w:cs="Arial"/>
          <w:sz w:val="20"/>
          <w:szCs w:val="20"/>
          <w:lang w:val="en-US" w:eastAsia="en-US"/>
        </w:rPr>
        <w:t>1</w:t>
      </w:r>
      <w:r w:rsidR="007A1B30">
        <w:rPr>
          <w:rFonts w:ascii="Arial" w:eastAsia="Calibri" w:hAnsi="Arial" w:cs="Arial"/>
          <w:sz w:val="20"/>
          <w:szCs w:val="20"/>
          <w:lang w:val="en-US" w:eastAsia="en-US"/>
        </w:rPr>
        <w:t>x)</w:t>
      </w:r>
      <w:r w:rsidR="00F45666">
        <w:rPr>
          <w:rFonts w:ascii="Arial" w:eastAsia="Calibri" w:hAnsi="Arial" w:cs="Arial"/>
          <w:sz w:val="20"/>
          <w:szCs w:val="20"/>
          <w:lang w:val="en-US" w:eastAsia="en-US"/>
        </w:rPr>
        <w:t>. The</w:t>
      </w:r>
      <w:r w:rsidR="00A93464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F846FE">
        <w:rPr>
          <w:rFonts w:ascii="Arial" w:eastAsia="Calibri" w:hAnsi="Arial" w:cs="Arial"/>
          <w:sz w:val="20"/>
          <w:szCs w:val="20"/>
          <w:lang w:val="en-US" w:eastAsia="en-US"/>
        </w:rPr>
        <w:t xml:space="preserve">financial </w:t>
      </w:r>
      <w:r w:rsidR="006A2D59" w:rsidRPr="00F846FE">
        <w:rPr>
          <w:rFonts w:ascii="Arial" w:eastAsia="Calibri" w:hAnsi="Arial" w:cs="Arial"/>
          <w:sz w:val="20"/>
          <w:szCs w:val="20"/>
          <w:lang w:val="en-US" w:eastAsia="en-US"/>
        </w:rPr>
        <w:t>solidity</w:t>
      </w:r>
      <w:r w:rsidR="006A2D59" w:rsidRPr="00493DEF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BB58CC">
        <w:rPr>
          <w:rFonts w:ascii="Arial" w:eastAsia="Calibri" w:hAnsi="Arial" w:cs="Arial"/>
          <w:sz w:val="20"/>
          <w:szCs w:val="20"/>
          <w:lang w:val="en-US" w:eastAsia="en-US"/>
        </w:rPr>
        <w:t>obtained</w:t>
      </w:r>
      <w:r w:rsidR="00F4566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6A2D59">
        <w:rPr>
          <w:rFonts w:ascii="Arial" w:eastAsia="Calibri" w:hAnsi="Arial" w:cs="Arial"/>
          <w:sz w:val="20"/>
          <w:szCs w:val="20"/>
          <w:lang w:val="en-US" w:eastAsia="en-US"/>
        </w:rPr>
        <w:t xml:space="preserve">provides the Group with the </w:t>
      </w:r>
      <w:r w:rsidR="006B0654" w:rsidRPr="00F846FE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flexibility required</w:t>
      </w:r>
      <w:r w:rsidR="006B0654">
        <w:rPr>
          <w:rFonts w:ascii="Arial" w:eastAsia="Calibri" w:hAnsi="Arial" w:cs="Arial"/>
          <w:sz w:val="20"/>
          <w:szCs w:val="20"/>
          <w:lang w:val="en-US" w:eastAsia="en-US"/>
        </w:rPr>
        <w:t xml:space="preserve"> to seize market opportunities</w:t>
      </w:r>
      <w:r w:rsidR="000164E7">
        <w:rPr>
          <w:rFonts w:ascii="Arial" w:eastAsia="Calibri" w:hAnsi="Arial" w:cs="Arial"/>
          <w:sz w:val="20"/>
          <w:szCs w:val="20"/>
          <w:lang w:val="en-US" w:eastAsia="en-US"/>
        </w:rPr>
        <w:t>, fund</w:t>
      </w:r>
      <w:r w:rsidR="006B0654">
        <w:rPr>
          <w:rFonts w:ascii="Arial" w:eastAsia="Calibri" w:hAnsi="Arial" w:cs="Arial"/>
          <w:sz w:val="20"/>
          <w:szCs w:val="20"/>
          <w:lang w:val="en-US" w:eastAsia="en-US"/>
        </w:rPr>
        <w:t xml:space="preserve"> it</w:t>
      </w:r>
      <w:r w:rsidR="00D756F1">
        <w:rPr>
          <w:rFonts w:ascii="Arial" w:eastAsia="Calibri" w:hAnsi="Arial" w:cs="Arial"/>
          <w:sz w:val="20"/>
          <w:szCs w:val="20"/>
          <w:lang w:val="en-US" w:eastAsia="en-US"/>
        </w:rPr>
        <w:t>s</w:t>
      </w:r>
      <w:r w:rsidR="00344AC3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0164E7">
        <w:rPr>
          <w:rFonts w:ascii="Arial" w:eastAsia="Calibri" w:hAnsi="Arial" w:cs="Arial"/>
          <w:sz w:val="20"/>
          <w:szCs w:val="20"/>
          <w:lang w:val="en-US" w:eastAsia="en-US"/>
        </w:rPr>
        <w:t>growth ambitions and maximiz</w:t>
      </w:r>
      <w:r w:rsidR="00FD3184">
        <w:rPr>
          <w:rFonts w:ascii="Arial" w:eastAsia="Calibri" w:hAnsi="Arial" w:cs="Arial"/>
          <w:sz w:val="20"/>
          <w:szCs w:val="20"/>
          <w:lang w:val="en-US" w:eastAsia="en-US"/>
        </w:rPr>
        <w:t>e</w:t>
      </w:r>
      <w:r w:rsidRPr="00493DEF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0164E7">
        <w:rPr>
          <w:rFonts w:ascii="Arial" w:eastAsia="Calibri" w:hAnsi="Arial" w:cs="Arial"/>
          <w:sz w:val="20"/>
          <w:szCs w:val="20"/>
          <w:lang w:val="en-US" w:eastAsia="en-US"/>
        </w:rPr>
        <w:t>shareholder remuneration</w:t>
      </w:r>
      <w:r w:rsidRPr="00493DEF">
        <w:rPr>
          <w:rFonts w:ascii="Arial" w:eastAsia="Calibri" w:hAnsi="Arial" w:cs="Arial"/>
          <w:sz w:val="20"/>
          <w:szCs w:val="20"/>
          <w:lang w:val="en-US" w:eastAsia="en-US"/>
        </w:rPr>
        <w:t>.</w:t>
      </w:r>
      <w:r w:rsidR="007A1B30">
        <w:rPr>
          <w:rFonts w:ascii="Arial" w:eastAsia="Calibri" w:hAnsi="Arial" w:cs="Arial"/>
          <w:sz w:val="20"/>
          <w:szCs w:val="20"/>
          <w:lang w:val="en-US" w:eastAsia="en-US"/>
        </w:rPr>
        <w:t xml:space="preserve"> At the end of the </w:t>
      </w:r>
      <w:r w:rsidR="001320E3">
        <w:rPr>
          <w:rFonts w:ascii="Arial" w:eastAsia="Calibri" w:hAnsi="Arial" w:cs="Arial"/>
          <w:sz w:val="20"/>
          <w:szCs w:val="20"/>
          <w:lang w:val="en-US" w:eastAsia="en-US"/>
        </w:rPr>
        <w:t>P</w:t>
      </w:r>
      <w:r w:rsidR="007A1B30">
        <w:rPr>
          <w:rFonts w:ascii="Arial" w:eastAsia="Calibri" w:hAnsi="Arial" w:cs="Arial"/>
          <w:sz w:val="20"/>
          <w:szCs w:val="20"/>
          <w:lang w:val="en-US" w:eastAsia="en-US"/>
        </w:rPr>
        <w:t xml:space="preserve">lan period, the Net </w:t>
      </w:r>
      <w:r w:rsidR="00C91F86">
        <w:rPr>
          <w:rFonts w:ascii="Arial" w:eastAsia="Calibri" w:hAnsi="Arial" w:cs="Arial"/>
          <w:sz w:val="20"/>
          <w:szCs w:val="20"/>
          <w:lang w:val="en-US" w:eastAsia="en-US"/>
        </w:rPr>
        <w:t xml:space="preserve">Financial </w:t>
      </w:r>
      <w:r w:rsidR="007A1B30">
        <w:rPr>
          <w:rFonts w:ascii="Arial" w:eastAsia="Calibri" w:hAnsi="Arial" w:cs="Arial"/>
          <w:sz w:val="20"/>
          <w:szCs w:val="20"/>
          <w:lang w:val="en-US" w:eastAsia="en-US"/>
        </w:rPr>
        <w:t>Debt/EBITDA ratio is expected to stand at around 2.</w:t>
      </w:r>
      <w:r w:rsidR="00C746D5">
        <w:rPr>
          <w:rFonts w:ascii="Arial" w:eastAsia="Calibri" w:hAnsi="Arial" w:cs="Arial"/>
          <w:sz w:val="20"/>
          <w:szCs w:val="20"/>
          <w:lang w:val="en-US" w:eastAsia="en-US"/>
        </w:rPr>
        <w:t>5</w:t>
      </w:r>
      <w:r w:rsidR="007A1B30">
        <w:rPr>
          <w:rFonts w:ascii="Arial" w:eastAsia="Calibri" w:hAnsi="Arial" w:cs="Arial"/>
          <w:sz w:val="20"/>
          <w:szCs w:val="20"/>
          <w:lang w:val="en-US" w:eastAsia="en-US"/>
        </w:rPr>
        <w:t xml:space="preserve">x, </w:t>
      </w:r>
      <w:r w:rsidR="003A1BA6" w:rsidRPr="00C91F86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remaining </w:t>
      </w:r>
      <w:r w:rsidR="007F0D20" w:rsidRPr="00C91F86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well </w:t>
      </w:r>
      <w:r w:rsidR="003A1BA6" w:rsidRPr="00C91F86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below</w:t>
      </w:r>
      <w:r w:rsidR="007A1B30" w:rsidRPr="00C91F86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the sector average</w:t>
      </w:r>
      <w:r w:rsidR="007A1B30">
        <w:rPr>
          <w:rFonts w:ascii="Arial" w:eastAsia="Calibri" w:hAnsi="Arial" w:cs="Arial"/>
          <w:sz w:val="20"/>
          <w:szCs w:val="20"/>
          <w:lang w:val="en-US" w:eastAsia="en-US"/>
        </w:rPr>
        <w:t>.</w:t>
      </w:r>
    </w:p>
    <w:p w14:paraId="73010EDF" w14:textId="77777777" w:rsidR="00B711F7" w:rsidRDefault="00B711F7" w:rsidP="00B711F7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0E4B8354" w14:textId="63E72B93" w:rsidR="00586A06" w:rsidRDefault="00E724F1" w:rsidP="00F62469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>
        <w:rPr>
          <w:rFonts w:ascii="Arial" w:eastAsia="Calibri" w:hAnsi="Arial" w:cs="Arial"/>
          <w:sz w:val="20"/>
          <w:szCs w:val="20"/>
          <w:lang w:val="en-US" w:eastAsia="en-US"/>
        </w:rPr>
        <w:t>In addition,</w:t>
      </w:r>
      <w:r w:rsidR="00753E87">
        <w:rPr>
          <w:rFonts w:ascii="Arial" w:eastAsia="Calibri" w:hAnsi="Arial" w:cs="Arial"/>
          <w:sz w:val="20"/>
          <w:szCs w:val="20"/>
          <w:lang w:val="en-US" w:eastAsia="en-US"/>
        </w:rPr>
        <w:t xml:space="preserve"> also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t</w:t>
      </w:r>
      <w:r w:rsidR="000D4505">
        <w:rPr>
          <w:rFonts w:ascii="Arial" w:eastAsia="Calibri" w:hAnsi="Arial" w:cs="Arial"/>
          <w:sz w:val="20"/>
          <w:szCs w:val="20"/>
          <w:lang w:val="en-US" w:eastAsia="en-US"/>
        </w:rPr>
        <w:t xml:space="preserve">hanks to the Group’s </w:t>
      </w:r>
      <w:r w:rsidR="00F55257">
        <w:rPr>
          <w:rFonts w:ascii="Arial" w:eastAsia="Calibri" w:hAnsi="Arial" w:cs="Arial"/>
          <w:sz w:val="20"/>
          <w:szCs w:val="20"/>
          <w:lang w:val="en-US" w:eastAsia="en-US"/>
        </w:rPr>
        <w:t xml:space="preserve">lower exposure to non-core geographies and the continued focus on sustainable finance, </w:t>
      </w:r>
      <w:r w:rsidR="00F55257" w:rsidRPr="00C62DD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t</w:t>
      </w:r>
      <w:r w:rsidR="00F62469" w:rsidRPr="00C62DD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he overall cost of gross debt </w:t>
      </w:r>
      <w:r w:rsidR="00433E8B" w:rsidRPr="00C62DD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is expected to decrease to</w:t>
      </w:r>
      <w:r w:rsidR="00AB40F2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</w:t>
      </w:r>
      <w:r w:rsidR="00F62469" w:rsidRPr="00C62DD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3.9% </w:t>
      </w:r>
      <w:r w:rsidR="00433E8B" w:rsidRPr="00C62DD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in 2027</w:t>
      </w:r>
      <w:r w:rsidR="000D4505">
        <w:rPr>
          <w:rFonts w:ascii="Arial" w:eastAsia="Calibri" w:hAnsi="Arial" w:cs="Arial"/>
          <w:sz w:val="20"/>
          <w:szCs w:val="20"/>
          <w:lang w:val="en-US" w:eastAsia="en-US"/>
        </w:rPr>
        <w:t>.</w:t>
      </w:r>
      <w:r w:rsidR="00F62469" w:rsidRPr="00F62469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</w:p>
    <w:p w14:paraId="2A0F79AA" w14:textId="77777777" w:rsidR="00586A06" w:rsidRDefault="00586A06" w:rsidP="00F62469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71FE2622" w14:textId="1B00C956" w:rsidR="00F62469" w:rsidRPr="00F62469" w:rsidRDefault="000D00D8" w:rsidP="00F62469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In 2027, s</w:t>
      </w:r>
      <w:r w:rsidR="00586A06" w:rsidRPr="00C62DD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ustainable finance sources are</w:t>
      </w:r>
      <w:r w:rsidR="00F62469" w:rsidRPr="00C62DD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expected to </w:t>
      </w:r>
      <w:r w:rsidR="00EF0538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account for</w:t>
      </w:r>
      <w:r w:rsidR="00D3229A" w:rsidRPr="00C62DD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approximately</w:t>
      </w:r>
      <w:r w:rsidR="00F62469" w:rsidRPr="00F62469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F62469" w:rsidRPr="00C62DD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75% o</w:t>
      </w:r>
      <w:r w:rsidR="00771CE5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f</w:t>
      </w:r>
      <w:r w:rsidR="00F62469" w:rsidRPr="00C62DD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total gross debt, with an increase of 5 percentage points </w:t>
      </w:r>
      <w:r w:rsidR="004A116A" w:rsidRPr="00C62DD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compared with the</w:t>
      </w:r>
      <w:r w:rsidR="0007525E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target </w:t>
      </w:r>
      <w:r w:rsidR="00317816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set in</w:t>
      </w:r>
      <w:r w:rsidR="0007525E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the</w:t>
      </w:r>
      <w:r w:rsidR="00F62469" w:rsidRPr="00C62DD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 xml:space="preserve"> previous </w:t>
      </w:r>
      <w:r w:rsidR="004A116A" w:rsidRPr="00C62DD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P</w:t>
      </w:r>
      <w:r w:rsidR="00F62469" w:rsidRPr="00C62DD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lan.</w:t>
      </w:r>
    </w:p>
    <w:p w14:paraId="61A247E2" w14:textId="77777777" w:rsidR="00B711F7" w:rsidRDefault="00B711F7" w:rsidP="00B711F7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29AC9EE4" w14:textId="2EC82EF3" w:rsidR="00B711F7" w:rsidRDefault="00B711F7" w:rsidP="00433DDE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When it comes to </w:t>
      </w:r>
      <w:r w:rsidRPr="00AB147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environmental sustainability</w:t>
      </w:r>
      <w:r>
        <w:rPr>
          <w:rFonts w:ascii="Arial" w:eastAsia="Calibri" w:hAnsi="Arial" w:cs="Arial"/>
          <w:sz w:val="20"/>
          <w:szCs w:val="20"/>
          <w:lang w:val="en-US" w:eastAsia="en-US"/>
        </w:rPr>
        <w:t>, the Group</w:t>
      </w:r>
      <w:r w:rsidRPr="009B4D0B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plans to continue reducing</w:t>
      </w:r>
      <w:r w:rsidRPr="009B4D0B">
        <w:rPr>
          <w:rFonts w:ascii="Arial" w:eastAsia="Calibri" w:hAnsi="Arial" w:cs="Arial"/>
          <w:sz w:val="20"/>
          <w:szCs w:val="20"/>
          <w:lang w:val="en-US" w:eastAsia="en-US"/>
        </w:rPr>
        <w:t xml:space="preserve"> its direct and indirect greenhouse gas emissions, in line with the Paris Agreement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and compliant with</w:t>
      </w:r>
      <w:r w:rsidRPr="00584676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9B4D0B">
        <w:rPr>
          <w:rFonts w:ascii="Arial" w:eastAsia="Calibri" w:hAnsi="Arial" w:cs="Arial"/>
          <w:sz w:val="20"/>
          <w:szCs w:val="20"/>
          <w:lang w:val="en-US" w:eastAsia="en-US"/>
        </w:rPr>
        <w:t>the 1.5</w:t>
      </w:r>
      <w:r>
        <w:rPr>
          <w:rFonts w:ascii="Arial" w:eastAsia="Calibri" w:hAnsi="Arial" w:cs="Arial"/>
          <w:sz w:val="20"/>
          <w:szCs w:val="20"/>
          <w:lang w:val="en-US" w:eastAsia="en-US"/>
        </w:rPr>
        <w:t>°C</w:t>
      </w:r>
      <w:r w:rsidRPr="009B4D0B">
        <w:rPr>
          <w:rFonts w:ascii="Arial" w:eastAsia="Calibri" w:hAnsi="Arial" w:cs="Arial"/>
          <w:sz w:val="20"/>
          <w:szCs w:val="20"/>
          <w:lang w:val="en-US" w:eastAsia="en-US"/>
        </w:rPr>
        <w:t xml:space="preserve"> pathway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, as certified by </w:t>
      </w:r>
      <w:r w:rsidRPr="009B4D0B">
        <w:rPr>
          <w:rFonts w:ascii="Arial" w:eastAsia="Calibri" w:hAnsi="Arial" w:cs="Arial"/>
          <w:sz w:val="20"/>
          <w:szCs w:val="20"/>
          <w:lang w:val="en-US" w:eastAsia="en-US"/>
        </w:rPr>
        <w:t>the Science Based Target</w:t>
      </w:r>
      <w:r>
        <w:rPr>
          <w:rFonts w:ascii="Arial" w:eastAsia="Calibri" w:hAnsi="Arial" w:cs="Arial"/>
          <w:sz w:val="20"/>
          <w:szCs w:val="20"/>
          <w:lang w:val="en-US" w:eastAsia="en-US"/>
        </w:rPr>
        <w:t>s</w:t>
      </w:r>
      <w:r w:rsidRPr="009B4D0B">
        <w:rPr>
          <w:rFonts w:ascii="Arial" w:eastAsia="Calibri" w:hAnsi="Arial" w:cs="Arial"/>
          <w:sz w:val="20"/>
          <w:szCs w:val="20"/>
          <w:lang w:val="en-US" w:eastAsia="en-US"/>
        </w:rPr>
        <w:t xml:space="preserve"> initiative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(“SBTi”)</w:t>
      </w:r>
      <w:r w:rsidRPr="009B4D0B">
        <w:rPr>
          <w:rFonts w:ascii="Arial" w:eastAsia="Calibri" w:hAnsi="Arial" w:cs="Arial"/>
          <w:sz w:val="20"/>
          <w:szCs w:val="20"/>
          <w:lang w:val="en-US" w:eastAsia="en-US"/>
        </w:rPr>
        <w:t>.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Specifically, </w:t>
      </w:r>
      <w:r w:rsidRPr="008D328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the Group confirms its target to close all of its remaining coal plants by 2027</w:t>
      </w:r>
      <w:r>
        <w:rPr>
          <w:rFonts w:ascii="Arial" w:eastAsia="Calibri" w:hAnsi="Arial" w:cs="Arial"/>
          <w:sz w:val="20"/>
          <w:szCs w:val="20"/>
          <w:lang w:val="en-US" w:eastAsia="en-US"/>
        </w:rPr>
        <w:t>,</w:t>
      </w:r>
      <w:r w:rsidRPr="009B4D0B">
        <w:rPr>
          <w:rFonts w:ascii="Arial" w:eastAsia="Calibri" w:hAnsi="Arial" w:cs="Arial"/>
          <w:sz w:val="20"/>
          <w:szCs w:val="20"/>
          <w:lang w:val="en-US" w:eastAsia="en-US"/>
        </w:rPr>
        <w:t xml:space="preserve"> subject to the authorizations of competent authorities.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Pr="009B4D0B">
        <w:rPr>
          <w:rFonts w:ascii="Arial" w:eastAsia="Calibri" w:hAnsi="Arial" w:cs="Arial"/>
          <w:sz w:val="20"/>
          <w:szCs w:val="20"/>
          <w:lang w:val="en-US" w:eastAsia="en-US"/>
        </w:rPr>
        <w:t xml:space="preserve">For </w:t>
      </w:r>
      <w:r>
        <w:rPr>
          <w:rFonts w:ascii="Arial" w:eastAsia="Calibri" w:hAnsi="Arial" w:cs="Arial"/>
          <w:sz w:val="20"/>
          <w:szCs w:val="20"/>
          <w:lang w:val="en-US" w:eastAsia="en-US"/>
        </w:rPr>
        <w:t>coal plant</w:t>
      </w:r>
      <w:r w:rsidRPr="009B4D0B">
        <w:rPr>
          <w:rFonts w:ascii="Arial" w:eastAsia="Calibri" w:hAnsi="Arial" w:cs="Arial"/>
          <w:sz w:val="20"/>
          <w:szCs w:val="20"/>
          <w:lang w:val="en-US" w:eastAsia="en-US"/>
        </w:rPr>
        <w:t xml:space="preserve"> reconversion, 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the Group </w:t>
      </w:r>
      <w:r w:rsidRPr="009B4D0B">
        <w:rPr>
          <w:rFonts w:ascii="Arial" w:eastAsia="Calibri" w:hAnsi="Arial" w:cs="Arial"/>
          <w:sz w:val="20"/>
          <w:szCs w:val="20"/>
          <w:lang w:val="en-US" w:eastAsia="en-US"/>
        </w:rPr>
        <w:t xml:space="preserve">will evaluate the best available technologies, based on the needs indicated by the transmission grid operators. </w:t>
      </w:r>
      <w:r w:rsidRPr="008D328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The Group confirms its ambition to reach zero emissions across all scopes by 2040</w:t>
      </w:r>
      <w:r w:rsidR="00964FA6" w:rsidRPr="00964FA6">
        <w:rPr>
          <w:rFonts w:ascii="Arial" w:eastAsia="Calibri" w:hAnsi="Arial" w:cs="Arial"/>
          <w:sz w:val="20"/>
          <w:szCs w:val="20"/>
          <w:lang w:val="en-US" w:eastAsia="en-US"/>
        </w:rPr>
        <w:t>.</w:t>
      </w:r>
      <w:r w:rsidR="00433DDE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9F2C13">
        <w:rPr>
          <w:rFonts w:ascii="Arial" w:eastAsia="Calibri" w:hAnsi="Arial" w:cs="Arial"/>
          <w:sz w:val="20"/>
          <w:szCs w:val="20"/>
          <w:lang w:val="en-US" w:eastAsia="en-US"/>
        </w:rPr>
        <w:t>Furthermore, a</w:t>
      </w:r>
      <w:r w:rsidR="006C739A">
        <w:rPr>
          <w:rFonts w:ascii="Arial" w:eastAsia="Calibri" w:hAnsi="Arial" w:cs="Arial"/>
          <w:sz w:val="20"/>
          <w:szCs w:val="20"/>
          <w:lang w:val="en-US" w:eastAsia="en-US"/>
        </w:rPr>
        <w:t>long this path, t</w:t>
      </w:r>
      <w:r w:rsidR="00433DDE">
        <w:rPr>
          <w:rFonts w:ascii="Arial" w:eastAsia="Calibri" w:hAnsi="Arial" w:cs="Arial"/>
          <w:sz w:val="20"/>
          <w:szCs w:val="20"/>
          <w:lang w:val="en-US" w:eastAsia="en-US"/>
        </w:rPr>
        <w:t>h</w:t>
      </w:r>
      <w:r w:rsidR="00353630">
        <w:rPr>
          <w:rFonts w:ascii="Arial" w:eastAsia="Calibri" w:hAnsi="Arial" w:cs="Arial"/>
          <w:sz w:val="20"/>
          <w:szCs w:val="20"/>
          <w:lang w:val="en-US" w:eastAsia="en-US"/>
        </w:rPr>
        <w:t xml:space="preserve">e Group aims to </w:t>
      </w:r>
      <w:r w:rsidR="00C746D5">
        <w:rPr>
          <w:rFonts w:ascii="Arial" w:eastAsia="Calibri" w:hAnsi="Arial" w:cs="Arial"/>
          <w:sz w:val="20"/>
          <w:szCs w:val="20"/>
          <w:lang w:val="en-US" w:eastAsia="en-US"/>
        </w:rPr>
        <w:t xml:space="preserve">continue to </w:t>
      </w:r>
      <w:r w:rsidR="00964FA6" w:rsidRPr="00964FA6">
        <w:rPr>
          <w:rFonts w:ascii="Arial" w:eastAsia="Calibri" w:hAnsi="Arial" w:cs="Arial"/>
          <w:sz w:val="20"/>
          <w:szCs w:val="20"/>
          <w:lang w:val="en-US" w:eastAsia="en-US"/>
        </w:rPr>
        <w:t>preserve the social and economic context</w:t>
      </w:r>
      <w:r w:rsidR="006C739A">
        <w:rPr>
          <w:rFonts w:ascii="Arial" w:eastAsia="Calibri" w:hAnsi="Arial" w:cs="Arial"/>
          <w:sz w:val="20"/>
          <w:szCs w:val="20"/>
          <w:lang w:val="en-US" w:eastAsia="en-US"/>
        </w:rPr>
        <w:t xml:space="preserve"> </w:t>
      </w:r>
      <w:r w:rsidR="00C746D5">
        <w:rPr>
          <w:rFonts w:ascii="Arial" w:eastAsia="Calibri" w:hAnsi="Arial" w:cs="Arial"/>
          <w:sz w:val="20"/>
          <w:szCs w:val="20"/>
          <w:lang w:val="en-US" w:eastAsia="en-US"/>
        </w:rPr>
        <w:t xml:space="preserve">through its </w:t>
      </w:r>
      <w:r w:rsidR="00964FA6" w:rsidRPr="00AB147B">
        <w:rPr>
          <w:rFonts w:ascii="Arial" w:eastAsia="Calibri" w:hAnsi="Arial" w:cs="Arial"/>
          <w:b/>
          <w:bCs/>
          <w:sz w:val="20"/>
          <w:szCs w:val="20"/>
          <w:lang w:val="en-US" w:eastAsia="en-US"/>
        </w:rPr>
        <w:t>Just Transition</w:t>
      </w:r>
      <w:r w:rsidR="00964FA6" w:rsidRPr="00964FA6">
        <w:rPr>
          <w:rFonts w:ascii="Arial" w:eastAsia="Calibri" w:hAnsi="Arial" w:cs="Arial"/>
          <w:sz w:val="20"/>
          <w:szCs w:val="20"/>
          <w:lang w:val="en-US" w:eastAsia="en-US"/>
        </w:rPr>
        <w:t xml:space="preserve"> plan</w:t>
      </w:r>
      <w:r w:rsidR="006C739A">
        <w:rPr>
          <w:rFonts w:ascii="Arial" w:eastAsia="Calibri" w:hAnsi="Arial" w:cs="Arial"/>
          <w:sz w:val="20"/>
          <w:szCs w:val="20"/>
          <w:lang w:val="en-US" w:eastAsia="en-US"/>
        </w:rPr>
        <w:t>.</w:t>
      </w:r>
    </w:p>
    <w:p w14:paraId="5E5858FC" w14:textId="77777777" w:rsidR="00B711F7" w:rsidRDefault="00B711F7" w:rsidP="00B711F7">
      <w:pPr>
        <w:jc w:val="both"/>
        <w:rPr>
          <w:rFonts w:ascii="Arial" w:eastAsia="Calibri" w:hAnsi="Arial" w:cs="Arial"/>
          <w:sz w:val="20"/>
          <w:szCs w:val="20"/>
          <w:lang w:val="en-US" w:eastAsia="en-US"/>
        </w:rPr>
      </w:pPr>
    </w:p>
    <w:p w14:paraId="7E5A924F" w14:textId="77777777" w:rsidR="00B711F7" w:rsidRPr="002C70DD" w:rsidRDefault="00B711F7" w:rsidP="00B711F7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bookmarkStart w:id="0" w:name="_Hlk119517445"/>
      <w:r>
        <w:rPr>
          <w:rFonts w:ascii="Arial" w:hAnsi="Arial" w:cs="Arial"/>
          <w:b/>
          <w:sz w:val="20"/>
          <w:szCs w:val="20"/>
          <w:lang w:val="en-US"/>
        </w:rPr>
        <w:t>FINANCIAL TARGETS</w:t>
      </w:r>
    </w:p>
    <w:p w14:paraId="73ABEDF0" w14:textId="77777777" w:rsidR="00B711F7" w:rsidRDefault="00B711F7" w:rsidP="00B711F7">
      <w:pPr>
        <w:rPr>
          <w:rFonts w:ascii="Arial" w:eastAsia="Calibri" w:hAnsi="Arial" w:cs="Arial"/>
          <w:sz w:val="20"/>
          <w:szCs w:val="20"/>
          <w:highlight w:val="yellow"/>
          <w:lang w:val="en-US" w:eastAsia="en-US"/>
        </w:rPr>
      </w:pPr>
    </w:p>
    <w:p w14:paraId="25D3F92A" w14:textId="2BFDF201" w:rsidR="00B711F7" w:rsidRDefault="00B711F7" w:rsidP="00B711F7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404AF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Group Ordinary </w:t>
      </w:r>
      <w:r w:rsidRPr="00461B9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EBITDA is expected to grow to between </w:t>
      </w:r>
      <w:r w:rsidR="00C9009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24.1</w:t>
      </w:r>
      <w:r w:rsidRPr="00461B9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and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24.</w:t>
      </w:r>
      <w:r w:rsidR="00C9009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5</w:t>
      </w:r>
      <w:r w:rsidRPr="00461B9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billion euros in 202</w:t>
      </w:r>
      <w:r w:rsidR="00C9009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7</w:t>
      </w:r>
      <w:r w:rsidRPr="009F2C13">
        <w:rPr>
          <w:rFonts w:ascii="Arial" w:eastAsia="Times New Roman" w:hAnsi="Arial" w:cs="Arial"/>
          <w:color w:val="000000"/>
          <w:sz w:val="20"/>
          <w:szCs w:val="20"/>
          <w:lang w:val="en-US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with a </w:t>
      </w:r>
      <w:r w:rsidRPr="00662B24">
        <w:rPr>
          <w:rFonts w:ascii="Arial" w:eastAsia="Times New Roman" w:hAnsi="Arial" w:cs="Arial"/>
          <w:color w:val="000000"/>
          <w:sz w:val="20"/>
          <w:szCs w:val="20"/>
          <w:lang w:val="en-US"/>
        </w:rPr>
        <w:t>Compound Average Growth Rate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(“CAGR”) of around </w:t>
      </w:r>
      <w:r w:rsidR="00C90090">
        <w:rPr>
          <w:rFonts w:ascii="Arial" w:eastAsia="Times New Roman" w:hAnsi="Arial" w:cs="Arial"/>
          <w:color w:val="000000"/>
          <w:sz w:val="20"/>
          <w:szCs w:val="20"/>
          <w:lang w:val="en-US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%</w:t>
      </w:r>
      <w:r w:rsidR="00E67A8E">
        <w:rPr>
          <w:rStyle w:val="Refdenotaalpie"/>
          <w:rFonts w:ascii="Arial" w:eastAsia="Times New Roman" w:hAnsi="Arial" w:cs="Arial"/>
          <w:color w:val="000000"/>
          <w:sz w:val="20"/>
          <w:szCs w:val="20"/>
          <w:lang w:val="en-US"/>
        </w:rPr>
        <w:footnoteReference w:id="4"/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624C74">
        <w:rPr>
          <w:rFonts w:ascii="Arial" w:eastAsia="Times New Roman" w:hAnsi="Arial" w:cs="Arial"/>
          <w:color w:val="000000"/>
          <w:sz w:val="20"/>
          <w:szCs w:val="20"/>
          <w:lang w:val="en-US"/>
        </w:rPr>
        <w:t>compared to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3B73F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17.3 billion euros in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202</w:t>
      </w:r>
      <w:r w:rsidR="0020458C">
        <w:rPr>
          <w:rFonts w:ascii="Arial" w:eastAsia="Times New Roman" w:hAnsi="Arial" w:cs="Arial"/>
          <w:color w:val="000000"/>
          <w:sz w:val="20"/>
          <w:szCs w:val="20"/>
          <w:lang w:val="en-US"/>
        </w:rPr>
        <w:t>2</w:t>
      </w:r>
      <w:r>
        <w:rPr>
          <w:rStyle w:val="Refdenotaalpie"/>
          <w:rFonts w:ascii="Arial" w:eastAsia="Times New Roman" w:hAnsi="Arial" w:cs="Arial"/>
          <w:color w:val="000000"/>
          <w:sz w:val="20"/>
          <w:szCs w:val="20"/>
          <w:lang w:val="en-US"/>
        </w:rPr>
        <w:footnoteReference w:id="5"/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</w:p>
    <w:p w14:paraId="500A862A" w14:textId="0F91D8C7" w:rsidR="00B711F7" w:rsidRPr="00DE5A3B" w:rsidRDefault="00B711F7" w:rsidP="00B711F7">
      <w:pPr>
        <w:autoSpaceDE w:val="0"/>
        <w:autoSpaceDN w:val="0"/>
        <w:adjustRightInd w:val="0"/>
        <w:snapToGrid w:val="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94F6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Group </w:t>
      </w:r>
      <w:r w:rsidRPr="00461B9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Net Ordinary Income is expected to increase to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between</w:t>
      </w:r>
      <w:r w:rsidRPr="00461B9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7.</w:t>
      </w:r>
      <w:r w:rsidR="00BB5CEA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and </w:t>
      </w:r>
      <w:r w:rsidRPr="00461B9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7.</w:t>
      </w:r>
      <w:r w:rsidR="00481C2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5</w:t>
      </w:r>
      <w:r w:rsidRPr="00461B97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billion euros in 202</w:t>
      </w:r>
      <w:r w:rsidR="00481C2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, with a</w:t>
      </w:r>
      <w:r w:rsidRPr="00DE5A3B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CAGR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of around </w:t>
      </w:r>
      <w:r w:rsidR="00624C74">
        <w:rPr>
          <w:rFonts w:ascii="Arial" w:eastAsia="Times New Roman" w:hAnsi="Arial" w:cs="Arial"/>
          <w:color w:val="000000"/>
          <w:sz w:val="20"/>
          <w:szCs w:val="20"/>
          <w:lang w:val="en-US"/>
        </w:rPr>
        <w:t>11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%</w:t>
      </w:r>
      <w:r w:rsidR="00C2088D" w:rsidRPr="00124644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/>
        </w:rPr>
        <w:t>3</w:t>
      </w:r>
      <w:r w:rsidR="00F86C5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compared to </w:t>
      </w:r>
      <w:r w:rsidR="003B73F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4.3 billion euros in </w:t>
      </w:r>
      <w:r w:rsidR="00F86C5C">
        <w:rPr>
          <w:rFonts w:ascii="Arial" w:eastAsia="Times New Roman" w:hAnsi="Arial" w:cs="Arial"/>
          <w:color w:val="000000"/>
          <w:sz w:val="20"/>
          <w:szCs w:val="20"/>
          <w:lang w:val="en-US"/>
        </w:rPr>
        <w:t>2022</w:t>
      </w:r>
      <w:r w:rsidR="00C2088D" w:rsidRPr="00124644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</w:p>
    <w:bookmarkEnd w:id="0"/>
    <w:p w14:paraId="203DC9D3" w14:textId="77777777" w:rsidR="00A81051" w:rsidRDefault="00A81051" w:rsidP="00EF63A1">
      <w:pPr>
        <w:jc w:val="both"/>
        <w:rPr>
          <w:lang w:val="en-US"/>
        </w:rPr>
      </w:pPr>
    </w:p>
    <w:p w14:paraId="688B8C89" w14:textId="7D39A5CF" w:rsidR="009415F5" w:rsidRPr="009415F5" w:rsidRDefault="009415F5" w:rsidP="009415F5">
      <w:pPr>
        <w:jc w:val="both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9415F5">
        <w:rPr>
          <w:rFonts w:ascii="Arial" w:hAnsi="Arial" w:cs="Arial"/>
          <w:bCs/>
          <w:i/>
          <w:iCs/>
          <w:sz w:val="20"/>
          <w:szCs w:val="20"/>
          <w:lang w:val="en-US"/>
        </w:rPr>
        <w:t>Shareholder remuneration</w:t>
      </w:r>
    </w:p>
    <w:p w14:paraId="238FED5C" w14:textId="77777777" w:rsidR="009415F5" w:rsidRDefault="009415F5" w:rsidP="004F7436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</w:p>
    <w:p w14:paraId="467868B2" w14:textId="326BD2EF" w:rsidR="00AC53DC" w:rsidRDefault="009415F5" w:rsidP="004F7436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The</w:t>
      </w:r>
      <w:r w:rsidR="00836DE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v</w:t>
      </w:r>
      <w:r w:rsidR="00836DE6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isibility on</w:t>
      </w:r>
      <w:r w:rsidR="00A41D6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Group</w:t>
      </w:r>
      <w:r w:rsidR="00836DE6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836DE6" w:rsidRPr="004E5E5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2024</w:t>
      </w:r>
      <w:r w:rsidR="00836DE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984BB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financial results</w:t>
      </w:r>
      <w:r w:rsidR="00836DE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441309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allows for the proposal at</w:t>
      </w:r>
      <w:r w:rsidR="00836DE6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19777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Enel’s</w:t>
      </w:r>
      <w:r w:rsidR="00197770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836DE6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next </w:t>
      </w:r>
      <w:r w:rsidR="00733ED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Shareholders’</w:t>
      </w:r>
      <w:r w:rsidR="00836DE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Meeting</w:t>
      </w:r>
      <w:r w:rsidR="00836DE6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441309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of a</w:t>
      </w:r>
      <w:r w:rsidR="00574D55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n</w:t>
      </w:r>
      <w:r w:rsidR="00441309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574D55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overall dividend payout of</w:t>
      </w:r>
      <w:r w:rsidR="00574D55" w:rsidRPr="004E5E5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r w:rsidR="00441309" w:rsidRPr="004E5E5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0.46 euro</w:t>
      </w:r>
      <w:r w:rsidR="00574D55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s</w:t>
      </w:r>
      <w:r w:rsidR="00441309" w:rsidRPr="004E5E5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per share</w:t>
      </w:r>
      <w:r w:rsidR="00836DE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, above the </w:t>
      </w:r>
      <w:r w:rsidR="0025134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fixed minimum dividend per share</w:t>
      </w:r>
      <w:r w:rsidR="00910AF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(“DPS”)</w:t>
      </w:r>
      <w:r w:rsidR="00251348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of 0.43 euros </w:t>
      </w:r>
      <w:r w:rsidR="00251348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set </w:t>
      </w:r>
      <w:r w:rsidR="007A6F21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in the previous Plan</w:t>
      </w:r>
      <w:r w:rsidR="00836DE6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.</w:t>
      </w:r>
      <w:r w:rsidR="00836DE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</w:p>
    <w:p w14:paraId="25E5913B" w14:textId="77777777" w:rsidR="00AC53DC" w:rsidRDefault="00AC53DC" w:rsidP="004F7436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</w:p>
    <w:p w14:paraId="6190C3EB" w14:textId="3B6810A8" w:rsidR="004F7436" w:rsidRPr="004F7436" w:rsidRDefault="000C7EC5" w:rsidP="004F7436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4E5E5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Throughout </w:t>
      </w:r>
      <w:r w:rsidR="0031463E" w:rsidRPr="004E5E5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the </w:t>
      </w:r>
      <w:r w:rsidRPr="004E5E5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2025-2027</w:t>
      </w:r>
      <w:r w:rsidR="0031463E" w:rsidRPr="004E5E5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period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, t</w:t>
      </w:r>
      <w:r w:rsid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he implementation of</w:t>
      </w:r>
      <w:r w:rsidR="00570F5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the strateg</w:t>
      </w:r>
      <w:r w:rsidR="00733ED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ic actions</w:t>
      </w:r>
      <w:r w:rsid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4F7436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is </w:t>
      </w:r>
      <w:r w:rsid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expected</w:t>
      </w:r>
      <w:r w:rsidR="004F7436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to result in visible and highly predictable returns</w:t>
      </w:r>
      <w:r w:rsidR="00BB5CE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; </w:t>
      </w:r>
      <w:r w:rsidR="004E5E5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on this basis</w:t>
      </w:r>
      <w:r w:rsidR="00FE198B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B40FE3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the dividend policy was</w:t>
      </w:r>
      <w:r w:rsidR="004F7436" w:rsidRPr="0031463E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r w:rsidR="00B40FE3" w:rsidRPr="0031463E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revis</w:t>
      </w:r>
      <w:r w:rsidR="00B40FE3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ed</w:t>
      </w:r>
      <w:r w:rsidR="00B40FE3" w:rsidRPr="0031463E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r w:rsidR="00F32E89" w:rsidRPr="0031463E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upwards</w:t>
      </w:r>
      <w:r w:rsidR="004F7436" w:rsidRPr="0031463E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r w:rsidR="00F46C79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with</w:t>
      </w:r>
      <w:r w:rsidR="004F7436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4F7436" w:rsidRPr="008F792A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a</w:t>
      </w:r>
      <w:r w:rsidR="008F792A" w:rsidRPr="008F792A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new</w:t>
      </w:r>
      <w:r w:rsidR="004F7436" w:rsidRPr="008F792A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fixed minimum </w:t>
      </w:r>
      <w:r w:rsidR="00B40FE3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annual </w:t>
      </w:r>
      <w:r w:rsidR="00910AFB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DPS</w:t>
      </w:r>
      <w:r w:rsidR="004F7436" w:rsidRPr="008F792A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of </w:t>
      </w:r>
      <w:r w:rsidR="00F32E89" w:rsidRPr="008F792A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0.46 euros </w:t>
      </w:r>
      <w:r w:rsidR="00F46C79" w:rsidRP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and</w:t>
      </w:r>
      <w:r w:rsidR="004F7436" w:rsidRP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r w:rsidR="00F32E89" w:rsidRP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a </w:t>
      </w:r>
      <w:r w:rsidR="004F7436" w:rsidRP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potential </w:t>
      </w:r>
      <w:r w:rsidR="00733EDE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further </w:t>
      </w:r>
      <w:r w:rsidR="00F32E89" w:rsidRP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upside </w:t>
      </w:r>
      <w:r w:rsidR="004F7436" w:rsidRP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corresponding to up</w:t>
      </w:r>
      <w:r w:rsidR="00F32E89" w:rsidRP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r w:rsidR="004F7436" w:rsidRP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to </w:t>
      </w:r>
      <w:r w:rsidR="00F32E89" w:rsidRP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a </w:t>
      </w:r>
      <w:r w:rsidR="004F7436" w:rsidRP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70% payout on </w:t>
      </w:r>
      <w:r w:rsidR="00E9794B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Group </w:t>
      </w:r>
      <w:r w:rsid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N</w:t>
      </w:r>
      <w:r w:rsidR="004F7436" w:rsidRP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et </w:t>
      </w:r>
      <w:r w:rsid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O</w:t>
      </w:r>
      <w:r w:rsidR="004F7436" w:rsidRP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rdinary </w:t>
      </w:r>
      <w:r w:rsid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I</w:t>
      </w:r>
      <w:r w:rsidR="004F7436" w:rsidRPr="0019385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ncome</w:t>
      </w:r>
      <w:r w:rsidR="004F7436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.</w:t>
      </w:r>
      <w:r w:rsidR="0050374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A168C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Furthermore, c</w:t>
      </w:r>
      <w:r w:rsidR="004F7436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ompared to the</w:t>
      </w:r>
      <w:r w:rsidR="0019385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previous</w:t>
      </w:r>
      <w:r w:rsidR="004F7436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dividend policy</w:t>
      </w:r>
      <w:r w:rsidR="0019385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, </w:t>
      </w:r>
      <w:r w:rsidR="004F7436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the cash-flow neutrality gate</w:t>
      </w:r>
      <w:r w:rsidR="002D5DC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was removed</w:t>
      </w:r>
      <w:r w:rsidR="00503747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.</w:t>
      </w:r>
      <w:r w:rsidR="004F7436" w:rsidRPr="004F743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ab/>
      </w:r>
    </w:p>
    <w:p w14:paraId="7827556A" w14:textId="77777777" w:rsidR="000B4171" w:rsidRDefault="000B4171" w:rsidP="00001F6E">
      <w:pPr>
        <w:pStyle w:val="Ttulo3"/>
        <w:spacing w:before="0" w:after="0"/>
        <w:jc w:val="center"/>
        <w:rPr>
          <w:rFonts w:ascii="Arial" w:hAnsi="Arial" w:cs="Arial"/>
          <w:b w:val="0"/>
          <w:sz w:val="20"/>
          <w:szCs w:val="20"/>
          <w:lang w:val="en-US"/>
        </w:rPr>
      </w:pPr>
    </w:p>
    <w:p w14:paraId="6F2AD5A5" w14:textId="308EFA5B" w:rsidR="00001F6E" w:rsidRPr="009C43AF" w:rsidRDefault="00001F6E" w:rsidP="00001F6E">
      <w:pPr>
        <w:pStyle w:val="Ttulo3"/>
        <w:spacing w:before="0" w:after="0"/>
        <w:jc w:val="center"/>
        <w:rPr>
          <w:rFonts w:ascii="Arial" w:hAnsi="Arial" w:cs="Arial"/>
          <w:b w:val="0"/>
          <w:sz w:val="20"/>
          <w:szCs w:val="20"/>
          <w:lang w:val="en-US"/>
        </w:rPr>
      </w:pPr>
      <w:r w:rsidRPr="009C43AF">
        <w:rPr>
          <w:rFonts w:ascii="Arial" w:hAnsi="Arial" w:cs="Arial"/>
          <w:b w:val="0"/>
          <w:sz w:val="20"/>
          <w:szCs w:val="20"/>
          <w:lang w:val="en-US"/>
        </w:rPr>
        <w:t>*****</w:t>
      </w:r>
    </w:p>
    <w:p w14:paraId="6C23A715" w14:textId="77777777" w:rsidR="00CF7DF1" w:rsidRPr="00BE1685" w:rsidRDefault="00CF7DF1" w:rsidP="00CF7DF1">
      <w:pPr>
        <w:rPr>
          <w:rFonts w:ascii="Arial" w:hAnsi="Arial" w:cs="Arial"/>
          <w:lang w:val="en-US"/>
        </w:rPr>
      </w:pPr>
    </w:p>
    <w:p w14:paraId="25EAA270" w14:textId="77777777" w:rsidR="00A57DF2" w:rsidRPr="00BE1685" w:rsidRDefault="00A57DF2" w:rsidP="00A57DF2">
      <w:pPr>
        <w:pStyle w:val="Ttulo3"/>
        <w:spacing w:before="0" w:after="0"/>
        <w:rPr>
          <w:rFonts w:ascii="Arial" w:hAnsi="Arial" w:cs="Arial"/>
          <w:i/>
          <w:lang w:val="en-US"/>
        </w:rPr>
      </w:pPr>
      <w:r w:rsidRPr="00BE1685">
        <w:rPr>
          <w:rFonts w:ascii="Arial" w:hAnsi="Arial" w:cs="Arial"/>
          <w:lang w:val="en-US"/>
        </w:rPr>
        <w:t xml:space="preserve">KEY PERFORMANCE INDICATORS </w:t>
      </w:r>
    </w:p>
    <w:p w14:paraId="356667FF" w14:textId="77777777" w:rsidR="00A57DF2" w:rsidRPr="00BE1685" w:rsidRDefault="00A57DF2" w:rsidP="00A57DF2">
      <w:pPr>
        <w:rPr>
          <w:rFonts w:ascii="Arial" w:hAnsi="Arial" w:cs="Arial"/>
          <w:lang w:val="en-US" w:eastAsia="en-US"/>
        </w:rPr>
      </w:pPr>
    </w:p>
    <w:p w14:paraId="34B07C27" w14:textId="3C31629B" w:rsidR="00A57DF2" w:rsidRPr="00BE1685" w:rsidRDefault="00A57DF2" w:rsidP="00A57DF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E1685">
        <w:rPr>
          <w:rFonts w:ascii="Arial" w:hAnsi="Arial" w:cs="Arial"/>
          <w:sz w:val="20"/>
          <w:szCs w:val="20"/>
          <w:lang w:val="en-US"/>
        </w:rPr>
        <w:t>This press release uses a number of “alternative performance</w:t>
      </w:r>
      <w:r w:rsidRPr="00BE1685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measures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” </w:t>
      </w:r>
      <w:r>
        <w:rPr>
          <w:rFonts w:ascii="Arial" w:hAnsi="Arial" w:cs="Arial"/>
          <w:sz w:val="20"/>
          <w:szCs w:val="20"/>
          <w:lang w:val="en-US"/>
        </w:rPr>
        <w:t xml:space="preserve">that are 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not envisaged by the </w:t>
      </w:r>
      <w:r>
        <w:rPr>
          <w:rFonts w:ascii="Arial" w:hAnsi="Arial" w:cs="Arial"/>
          <w:sz w:val="20"/>
          <w:szCs w:val="20"/>
          <w:lang w:val="en-US"/>
        </w:rPr>
        <w:t xml:space="preserve">international </w:t>
      </w:r>
      <w:r w:rsidRPr="00BE1685">
        <w:rPr>
          <w:rFonts w:ascii="Arial" w:hAnsi="Arial" w:cs="Arial"/>
          <w:sz w:val="20"/>
          <w:szCs w:val="20"/>
          <w:lang w:val="en-US"/>
        </w:rPr>
        <w:t>accounting standards adopted by the European Union</w:t>
      </w:r>
      <w:r>
        <w:rPr>
          <w:rFonts w:ascii="Arial" w:hAnsi="Arial" w:cs="Arial"/>
          <w:sz w:val="20"/>
          <w:szCs w:val="20"/>
          <w:lang w:val="en-US"/>
        </w:rPr>
        <w:t xml:space="preserve"> - 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IFRS-EU,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AC164C">
        <w:rPr>
          <w:rFonts w:ascii="Arial" w:hAnsi="Arial" w:cs="Arial"/>
          <w:sz w:val="20"/>
          <w:szCs w:val="20"/>
          <w:lang w:val="en-US"/>
        </w:rPr>
        <w:t>n line with the ESMA Guidelines on alternative performance indicators (ESMA Guidelines/2015/1415). In particular</w:t>
      </w:r>
      <w:r w:rsidR="003F2D28">
        <w:rPr>
          <w:rFonts w:ascii="Arial" w:hAnsi="Arial" w:cs="Arial"/>
          <w:sz w:val="20"/>
          <w:szCs w:val="20"/>
          <w:lang w:val="en-US"/>
        </w:rPr>
        <w:t>,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management</w:t>
      </w:r>
      <w:r w:rsidRPr="00BE1685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deems</w:t>
      </w:r>
      <w:r w:rsidR="00217AF2">
        <w:rPr>
          <w:rFonts w:ascii="Arial" w:hAnsi="Arial" w:cs="Arial"/>
          <w:sz w:val="20"/>
          <w:szCs w:val="20"/>
          <w:lang w:val="en-US"/>
        </w:rPr>
        <w:t xml:space="preserve"> these indicators</w:t>
      </w:r>
      <w:r>
        <w:rPr>
          <w:rFonts w:ascii="Arial" w:hAnsi="Arial" w:cs="Arial"/>
          <w:sz w:val="20"/>
          <w:szCs w:val="20"/>
          <w:lang w:val="en-US"/>
        </w:rPr>
        <w:t xml:space="preserve"> useful for the better evaluation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and monitoring of the Group’s </w:t>
      </w:r>
      <w:r>
        <w:rPr>
          <w:rFonts w:ascii="Arial" w:hAnsi="Arial" w:cs="Arial"/>
          <w:sz w:val="20"/>
          <w:szCs w:val="20"/>
          <w:lang w:val="en-US"/>
        </w:rPr>
        <w:t>economic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and financial </w:t>
      </w:r>
      <w:r>
        <w:rPr>
          <w:rFonts w:ascii="Arial" w:hAnsi="Arial" w:cs="Arial"/>
          <w:sz w:val="20"/>
          <w:szCs w:val="20"/>
          <w:lang w:val="en-US"/>
        </w:rPr>
        <w:t>performance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. With regard to </w:t>
      </w:r>
      <w:r>
        <w:rPr>
          <w:rFonts w:ascii="Arial" w:hAnsi="Arial" w:cs="Arial"/>
          <w:sz w:val="20"/>
          <w:szCs w:val="20"/>
          <w:lang w:val="en-US"/>
        </w:rPr>
        <w:t>these indicators</w:t>
      </w:r>
      <w:r w:rsidRPr="00BE1685">
        <w:rPr>
          <w:rFonts w:ascii="Arial" w:hAnsi="Arial" w:cs="Arial"/>
          <w:sz w:val="20"/>
          <w:szCs w:val="20"/>
          <w:lang w:val="en-US"/>
        </w:rPr>
        <w:t>, on April 29</w:t>
      </w:r>
      <w:r w:rsidRPr="00BE168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, 2021, CONSOB issued </w:t>
      </w:r>
      <w:r>
        <w:rPr>
          <w:rFonts w:ascii="Arial" w:hAnsi="Arial" w:cs="Arial"/>
          <w:sz w:val="20"/>
          <w:szCs w:val="20"/>
          <w:lang w:val="en-US"/>
        </w:rPr>
        <w:t>W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arning 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otice no. 5/21, </w:t>
      </w:r>
      <w:r>
        <w:rPr>
          <w:rFonts w:ascii="Arial" w:hAnsi="Arial" w:cs="Arial"/>
          <w:sz w:val="20"/>
          <w:szCs w:val="20"/>
          <w:lang w:val="en-US"/>
        </w:rPr>
        <w:t>making applicable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the Guidelines issued on March 4</w:t>
      </w:r>
      <w:r w:rsidRPr="00BE168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, 2021, by the European Securities and Markets Authority (ESMA) on disclosure requirements </w:t>
      </w:r>
      <w:r>
        <w:rPr>
          <w:rFonts w:ascii="Arial" w:hAnsi="Arial" w:cs="Arial"/>
          <w:sz w:val="20"/>
          <w:szCs w:val="20"/>
          <w:lang w:val="en-US"/>
        </w:rPr>
        <w:t xml:space="preserve">pursuant to EU 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Regulation 2017/1129 (the </w:t>
      </w:r>
      <w:r>
        <w:rPr>
          <w:rFonts w:ascii="Arial" w:hAnsi="Arial" w:cs="Arial"/>
          <w:sz w:val="20"/>
          <w:szCs w:val="20"/>
          <w:lang w:val="en-US"/>
        </w:rPr>
        <w:t>so-called “</w:t>
      </w:r>
      <w:r w:rsidRPr="00BE1685">
        <w:rPr>
          <w:rFonts w:ascii="Arial" w:hAnsi="Arial" w:cs="Arial"/>
          <w:sz w:val="20"/>
          <w:szCs w:val="20"/>
          <w:lang w:val="en-US"/>
        </w:rPr>
        <w:t>Prospectus Regulation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), which </w:t>
      </w:r>
      <w:r>
        <w:rPr>
          <w:rFonts w:ascii="Arial" w:hAnsi="Arial" w:cs="Arial"/>
          <w:sz w:val="20"/>
          <w:szCs w:val="20"/>
          <w:lang w:val="en-US"/>
        </w:rPr>
        <w:t>are applicable from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May 5</w:t>
      </w:r>
      <w:r w:rsidRPr="00BE168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, 2021 and replace the references to the CESR </w:t>
      </w:r>
      <w:r>
        <w:rPr>
          <w:rFonts w:ascii="Arial" w:hAnsi="Arial" w:cs="Arial"/>
          <w:sz w:val="20"/>
          <w:szCs w:val="20"/>
          <w:lang w:val="en-US"/>
        </w:rPr>
        <w:t>r</w:t>
      </w:r>
      <w:r w:rsidRPr="00BE1685">
        <w:rPr>
          <w:rFonts w:ascii="Arial" w:hAnsi="Arial" w:cs="Arial"/>
          <w:sz w:val="20"/>
          <w:szCs w:val="20"/>
          <w:lang w:val="en-US"/>
        </w:rPr>
        <w:t>ecommendations and those in Communication no. DEM/6064293 of July 28</w:t>
      </w:r>
      <w:r w:rsidRPr="00BE168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, 2006 </w:t>
      </w:r>
      <w:r>
        <w:rPr>
          <w:rFonts w:ascii="Arial" w:hAnsi="Arial" w:cs="Arial"/>
          <w:sz w:val="20"/>
          <w:szCs w:val="20"/>
          <w:lang w:val="en-US"/>
        </w:rPr>
        <w:t>on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net financial position</w:t>
      </w:r>
      <w:r>
        <w:rPr>
          <w:rFonts w:ascii="Arial" w:hAnsi="Arial" w:cs="Arial"/>
          <w:sz w:val="20"/>
          <w:szCs w:val="20"/>
          <w:lang w:val="en-US"/>
        </w:rPr>
        <w:t>; s</w:t>
      </w:r>
      <w:r w:rsidRPr="00BE1685">
        <w:rPr>
          <w:rFonts w:ascii="Arial" w:hAnsi="Arial" w:cs="Arial"/>
          <w:sz w:val="20"/>
          <w:szCs w:val="20"/>
          <w:lang w:val="en-US"/>
        </w:rPr>
        <w:t>pecifically, the Guidelines update the previous CESR Recommendations (ESMA/2013/319, in the revised version of March 20</w:t>
      </w:r>
      <w:r w:rsidRPr="00BE168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BE1685">
        <w:rPr>
          <w:rFonts w:ascii="Arial" w:hAnsi="Arial" w:cs="Arial"/>
          <w:sz w:val="20"/>
          <w:szCs w:val="20"/>
          <w:lang w:val="en-US"/>
        </w:rPr>
        <w:t>, 2013).</w:t>
      </w:r>
    </w:p>
    <w:p w14:paraId="7197A7D3" w14:textId="77777777" w:rsidR="00A57DF2" w:rsidRPr="00BE1685" w:rsidRDefault="00A57DF2" w:rsidP="00A57DF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E1685">
        <w:rPr>
          <w:rFonts w:ascii="Arial" w:hAnsi="Arial" w:cs="Arial"/>
          <w:sz w:val="20"/>
          <w:szCs w:val="20"/>
          <w:lang w:val="en-US"/>
        </w:rPr>
        <w:t>The</w:t>
      </w:r>
      <w:r>
        <w:rPr>
          <w:rFonts w:ascii="Arial" w:hAnsi="Arial" w:cs="Arial"/>
          <w:sz w:val="20"/>
          <w:szCs w:val="20"/>
          <w:lang w:val="en-US"/>
        </w:rPr>
        <w:t>se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Guidelines are intended to promote the usefulness and transparency of alternative performance </w:t>
      </w:r>
      <w:r>
        <w:rPr>
          <w:rFonts w:ascii="Arial" w:hAnsi="Arial" w:cs="Arial"/>
          <w:sz w:val="20"/>
          <w:szCs w:val="20"/>
          <w:lang w:val="en-US"/>
        </w:rPr>
        <w:t>measures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included in regulated information or prospectuses within the scope of application of Directive 2003/71/EC in order to improve their comparability, reliability and comprehensibility.</w:t>
      </w:r>
    </w:p>
    <w:p w14:paraId="620E4AAD" w14:textId="77777777" w:rsidR="00A57DF2" w:rsidRPr="00BE1685" w:rsidRDefault="00A57DF2" w:rsidP="00A57DF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E1685">
        <w:rPr>
          <w:rFonts w:ascii="Arial" w:hAnsi="Arial" w:cs="Arial"/>
          <w:sz w:val="20"/>
          <w:szCs w:val="20"/>
          <w:lang w:val="en-US"/>
        </w:rPr>
        <w:t xml:space="preserve">In line with the </w:t>
      </w:r>
      <w:r>
        <w:rPr>
          <w:rFonts w:ascii="Arial" w:hAnsi="Arial" w:cs="Arial"/>
          <w:sz w:val="20"/>
          <w:szCs w:val="20"/>
          <w:lang w:val="en-US"/>
        </w:rPr>
        <w:t>abovementioned communications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, the criteria used </w:t>
      </w:r>
      <w:r>
        <w:rPr>
          <w:rFonts w:ascii="Arial" w:hAnsi="Arial" w:cs="Arial"/>
          <w:sz w:val="20"/>
          <w:szCs w:val="20"/>
          <w:lang w:val="en-US"/>
        </w:rPr>
        <w:t>for the construction of these indicators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for the Enel Group are </w:t>
      </w:r>
      <w:r>
        <w:rPr>
          <w:rFonts w:ascii="Arial" w:hAnsi="Arial" w:cs="Arial"/>
          <w:sz w:val="20"/>
          <w:szCs w:val="20"/>
          <w:lang w:val="en-US"/>
        </w:rPr>
        <w:t>provided below</w:t>
      </w:r>
      <w:r w:rsidRPr="00BE1685">
        <w:rPr>
          <w:rFonts w:ascii="Arial" w:hAnsi="Arial" w:cs="Arial"/>
          <w:sz w:val="20"/>
          <w:szCs w:val="20"/>
          <w:lang w:val="en-US"/>
        </w:rPr>
        <w:t>:</w:t>
      </w:r>
    </w:p>
    <w:p w14:paraId="5953C6F5" w14:textId="77777777" w:rsidR="00A57DF2" w:rsidRPr="00BE1685" w:rsidRDefault="00A57DF2" w:rsidP="00A57DF2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E04855C" w14:textId="77777777" w:rsidR="00A57DF2" w:rsidRPr="00BE1685" w:rsidRDefault="00A57DF2" w:rsidP="00A57DF2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BE1685">
        <w:rPr>
          <w:rFonts w:ascii="Arial" w:hAnsi="Arial" w:cs="Arial"/>
          <w:b/>
          <w:sz w:val="20"/>
          <w:szCs w:val="20"/>
          <w:lang w:val="en-US"/>
        </w:rPr>
        <w:t xml:space="preserve">Ordinary EBITDA </w:t>
      </w:r>
      <w:r w:rsidRPr="00BE1685">
        <w:rPr>
          <w:rFonts w:ascii="Arial" w:hAnsi="Arial" w:cs="Arial"/>
          <w:bCs/>
          <w:sz w:val="20"/>
          <w:szCs w:val="20"/>
          <w:lang w:val="en-US"/>
        </w:rPr>
        <w:t>is</w:t>
      </w:r>
      <w:r w:rsidRPr="00BE168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BE1685">
        <w:rPr>
          <w:rFonts w:ascii="Arial" w:hAnsi="Arial" w:cs="Arial"/>
          <w:sz w:val="20"/>
          <w:szCs w:val="20"/>
          <w:lang w:val="en-US"/>
        </w:rPr>
        <w:t>defined as “EBITDA”</w:t>
      </w:r>
      <w:r>
        <w:rPr>
          <w:rStyle w:val="Refdenotaalpie"/>
          <w:rFonts w:ascii="Arial" w:hAnsi="Arial" w:cs="Arial"/>
          <w:sz w:val="20"/>
          <w:szCs w:val="20"/>
          <w:lang w:val="en-US"/>
        </w:rPr>
        <w:footnoteReference w:id="6"/>
      </w:r>
      <w:r w:rsidRPr="00BE168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attributable to ordinary operations only, linked to the business models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Ownership, Partnership and Stewardship </w:t>
      </w:r>
      <w:r>
        <w:rPr>
          <w:rFonts w:ascii="Arial" w:hAnsi="Arial" w:cs="Arial"/>
          <w:sz w:val="20"/>
          <w:szCs w:val="20"/>
          <w:lang w:val="en-US"/>
        </w:rPr>
        <w:t>according to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which the Group operates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integrated with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the ordinary </w:t>
      </w:r>
      <w:r>
        <w:rPr>
          <w:rFonts w:ascii="Arial" w:hAnsi="Arial" w:cs="Arial"/>
          <w:sz w:val="20"/>
          <w:szCs w:val="20"/>
          <w:lang w:val="en-US"/>
        </w:rPr>
        <w:t>EBITDA attributable to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discontinued operations</w:t>
      </w:r>
      <w:r>
        <w:rPr>
          <w:rFonts w:ascii="Arial" w:hAnsi="Arial" w:cs="Arial"/>
          <w:sz w:val="20"/>
          <w:szCs w:val="20"/>
          <w:lang w:val="en-US"/>
        </w:rPr>
        <w:t>, if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present. It </w:t>
      </w:r>
      <w:r>
        <w:rPr>
          <w:rFonts w:ascii="Arial" w:hAnsi="Arial" w:cs="Arial"/>
          <w:sz w:val="20"/>
          <w:szCs w:val="20"/>
          <w:lang w:val="en-US"/>
        </w:rPr>
        <w:t>also excludes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costs </w:t>
      </w:r>
      <w:r>
        <w:rPr>
          <w:rFonts w:ascii="Arial" w:hAnsi="Arial" w:cs="Arial"/>
          <w:sz w:val="20"/>
          <w:szCs w:val="20"/>
          <w:lang w:val="en-US"/>
        </w:rPr>
        <w:t>associated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with corporate restructuring</w:t>
      </w:r>
      <w:r>
        <w:rPr>
          <w:rFonts w:ascii="Arial" w:hAnsi="Arial" w:cs="Arial"/>
          <w:sz w:val="20"/>
          <w:szCs w:val="20"/>
          <w:lang w:val="en-US"/>
        </w:rPr>
        <w:t xml:space="preserve"> plan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s and </w:t>
      </w:r>
      <w:r>
        <w:rPr>
          <w:rFonts w:ascii="Arial" w:hAnsi="Arial" w:cs="Arial"/>
          <w:sz w:val="20"/>
          <w:szCs w:val="20"/>
          <w:lang w:val="en-US"/>
        </w:rPr>
        <w:t>“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extraordinary solidarity </w:t>
      </w:r>
      <w:r>
        <w:rPr>
          <w:rFonts w:ascii="Arial" w:hAnsi="Arial" w:cs="Arial"/>
          <w:sz w:val="20"/>
          <w:szCs w:val="20"/>
          <w:lang w:val="en-US"/>
        </w:rPr>
        <w:lastRenderedPageBreak/>
        <w:t>contributions”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established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by local governments</w:t>
      </w:r>
      <w:r>
        <w:rPr>
          <w:rFonts w:ascii="Arial" w:hAnsi="Arial" w:cs="Arial"/>
          <w:sz w:val="20"/>
          <w:szCs w:val="20"/>
          <w:lang w:val="en-US"/>
        </w:rPr>
        <w:t xml:space="preserve"> abroad to be paid by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companies</w:t>
      </w:r>
      <w:r>
        <w:rPr>
          <w:rFonts w:ascii="Arial" w:hAnsi="Arial" w:cs="Arial"/>
          <w:sz w:val="20"/>
          <w:szCs w:val="20"/>
          <w:lang w:val="en-US"/>
        </w:rPr>
        <w:t xml:space="preserve"> in the energy sector</w:t>
      </w:r>
      <w:r w:rsidRPr="00BE1685">
        <w:rPr>
          <w:rFonts w:ascii="Arial" w:hAnsi="Arial" w:cs="Arial"/>
          <w:sz w:val="20"/>
          <w:szCs w:val="20"/>
          <w:lang w:val="en-US"/>
        </w:rPr>
        <w:t>;</w:t>
      </w:r>
    </w:p>
    <w:p w14:paraId="0E7D0AE5" w14:textId="77777777" w:rsidR="00A57DF2" w:rsidRPr="00BE1685" w:rsidRDefault="00A57DF2" w:rsidP="00A57DF2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5C21D7">
        <w:rPr>
          <w:rFonts w:ascii="Arial" w:hAnsi="Arial" w:cs="Arial"/>
          <w:b/>
          <w:sz w:val="20"/>
          <w:szCs w:val="20"/>
          <w:lang w:val="en-US"/>
        </w:rPr>
        <w:t xml:space="preserve">Group net ordinary </w:t>
      </w:r>
      <w:r w:rsidRPr="00D216E1">
        <w:rPr>
          <w:rFonts w:ascii="Arial" w:hAnsi="Arial" w:cs="Arial"/>
          <w:b/>
          <w:sz w:val="20"/>
          <w:szCs w:val="20"/>
          <w:lang w:val="en-US"/>
        </w:rPr>
        <w:t>income</w:t>
      </w:r>
      <w:r w:rsidRPr="005C21D7">
        <w:rPr>
          <w:rFonts w:ascii="Arial" w:hAnsi="Arial" w:cs="Arial"/>
          <w:bCs/>
          <w:sz w:val="20"/>
          <w:szCs w:val="20"/>
          <w:lang w:val="en-US"/>
        </w:rPr>
        <w:t xml:space="preserve"> is determined by rectifying “Group net </w:t>
      </w:r>
      <w:r>
        <w:rPr>
          <w:rFonts w:ascii="Arial" w:hAnsi="Arial" w:cs="Arial"/>
          <w:bCs/>
          <w:sz w:val="20"/>
          <w:szCs w:val="20"/>
          <w:lang w:val="en-US"/>
        </w:rPr>
        <w:t>income</w:t>
      </w:r>
      <w:r w:rsidRPr="005C21D7">
        <w:rPr>
          <w:rFonts w:ascii="Arial" w:hAnsi="Arial" w:cs="Arial"/>
          <w:bCs/>
          <w:sz w:val="20"/>
          <w:szCs w:val="20"/>
          <w:lang w:val="en-US"/>
        </w:rPr>
        <w:t>” from the items relating to “ordinary EBIT”</w:t>
      </w:r>
      <w:r w:rsidRPr="005C21D7">
        <w:rPr>
          <w:rStyle w:val="Refdenotaalpie"/>
          <w:rFonts w:ascii="Arial" w:hAnsi="Arial" w:cs="Arial"/>
          <w:bCs/>
          <w:sz w:val="20"/>
          <w:szCs w:val="20"/>
          <w:lang w:val="en-US"/>
        </w:rPr>
        <w:footnoteReference w:id="7"/>
      </w:r>
      <w:r w:rsidRPr="005C21D7">
        <w:rPr>
          <w:rFonts w:ascii="Arial" w:hAnsi="Arial" w:cs="Arial"/>
          <w:bCs/>
          <w:sz w:val="20"/>
          <w:szCs w:val="20"/>
          <w:lang w:val="en-US"/>
        </w:rPr>
        <w:t>,</w:t>
      </w:r>
      <w:r w:rsidRPr="00FB08A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FC398D">
        <w:rPr>
          <w:rFonts w:ascii="Arial" w:hAnsi="Arial" w:cs="Arial"/>
          <w:bCs/>
          <w:sz w:val="20"/>
          <w:szCs w:val="20"/>
          <w:lang w:val="en-US"/>
        </w:rPr>
        <w:t>taking into account any tax effects and non-controlling interests.</w:t>
      </w:r>
      <w:r w:rsidRPr="00BE168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Furthermore, it excludes</w:t>
      </w:r>
      <w:r w:rsidRPr="00BE1685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certain</w:t>
      </w:r>
      <w:r w:rsidRPr="00BE1685">
        <w:rPr>
          <w:rFonts w:ascii="Arial" w:hAnsi="Arial" w:cs="Arial"/>
          <w:bCs/>
          <w:sz w:val="20"/>
          <w:szCs w:val="20"/>
          <w:lang w:val="en-US"/>
        </w:rPr>
        <w:t xml:space="preserve"> financial </w:t>
      </w:r>
      <w:r>
        <w:rPr>
          <w:rFonts w:ascii="Arial" w:hAnsi="Arial" w:cs="Arial"/>
          <w:bCs/>
          <w:sz w:val="20"/>
          <w:szCs w:val="20"/>
          <w:lang w:val="en-US"/>
        </w:rPr>
        <w:t>components</w:t>
      </w:r>
      <w:r w:rsidRPr="00BE1685">
        <w:rPr>
          <w:rFonts w:ascii="Arial" w:hAnsi="Arial" w:cs="Arial"/>
          <w:bCs/>
          <w:sz w:val="20"/>
          <w:szCs w:val="20"/>
          <w:lang w:val="en-US"/>
        </w:rPr>
        <w:t xml:space="preserve"> not strictly attributable to the Group’s </w:t>
      </w:r>
      <w:r>
        <w:rPr>
          <w:rFonts w:ascii="Arial" w:hAnsi="Arial" w:cs="Arial"/>
          <w:bCs/>
          <w:sz w:val="20"/>
          <w:szCs w:val="20"/>
          <w:lang w:val="en-US"/>
        </w:rPr>
        <w:t>core</w:t>
      </w:r>
      <w:r w:rsidRPr="00BE1685">
        <w:rPr>
          <w:rFonts w:ascii="Arial" w:hAnsi="Arial" w:cs="Arial"/>
          <w:bCs/>
          <w:sz w:val="20"/>
          <w:szCs w:val="20"/>
          <w:lang w:val="en-US"/>
        </w:rPr>
        <w:t xml:space="preserve"> operations; </w:t>
      </w:r>
    </w:p>
    <w:p w14:paraId="6E179907" w14:textId="77777777" w:rsidR="00A57DF2" w:rsidRPr="00BE1685" w:rsidRDefault="00A57DF2" w:rsidP="00A57DF2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567" w:hanging="567"/>
        <w:rPr>
          <w:rFonts w:ascii="Arial" w:hAnsi="Arial" w:cs="Arial"/>
          <w:szCs w:val="20"/>
          <w:lang w:val="en-US"/>
        </w:rPr>
      </w:pPr>
      <w:r w:rsidRPr="00BE1685">
        <w:rPr>
          <w:rFonts w:ascii="Arial" w:hAnsi="Arial" w:cs="Arial"/>
          <w:b/>
          <w:bCs/>
          <w:szCs w:val="18"/>
          <w:lang w:val="en-US"/>
        </w:rPr>
        <w:t>Net financial debt</w:t>
      </w:r>
      <w:r w:rsidRPr="00BE1685">
        <w:rPr>
          <w:rFonts w:ascii="Arial" w:hAnsi="Arial" w:cs="Arial"/>
          <w:szCs w:val="18"/>
          <w:lang w:val="en-US"/>
        </w:rPr>
        <w:t xml:space="preserve"> is a</w:t>
      </w:r>
      <w:r>
        <w:rPr>
          <w:rFonts w:ascii="Arial" w:hAnsi="Arial" w:cs="Arial"/>
          <w:szCs w:val="18"/>
          <w:lang w:val="en-US"/>
        </w:rPr>
        <w:t>n indicator of the</w:t>
      </w:r>
      <w:r w:rsidRPr="00BE1685">
        <w:rPr>
          <w:rFonts w:ascii="Arial" w:hAnsi="Arial" w:cs="Arial"/>
          <w:szCs w:val="18"/>
          <w:lang w:val="en-US"/>
        </w:rPr>
        <w:t xml:space="preserve"> financial structure, determined by</w:t>
      </w:r>
      <w:r w:rsidRPr="00BE1685">
        <w:rPr>
          <w:rStyle w:val="Bilanci-TestoChar"/>
          <w:rFonts w:cs="Arial"/>
          <w:szCs w:val="20"/>
          <w:lang w:val="en-US"/>
        </w:rPr>
        <w:t>:</w:t>
      </w:r>
    </w:p>
    <w:p w14:paraId="1A569755" w14:textId="77777777" w:rsidR="00A57DF2" w:rsidRPr="00CF7DF1" w:rsidRDefault="00A57DF2" w:rsidP="00A57DF2">
      <w:pPr>
        <w:pStyle w:val="bullet"/>
        <w:numPr>
          <w:ilvl w:val="0"/>
          <w:numId w:val="4"/>
        </w:numPr>
        <w:spacing w:line="240" w:lineRule="auto"/>
        <w:ind w:left="709" w:hanging="425"/>
        <w:contextualSpacing/>
        <w:jc w:val="both"/>
        <w:rPr>
          <w:rFonts w:cs="Arial"/>
          <w:sz w:val="20"/>
          <w:szCs w:val="20"/>
          <w:lang w:val="en-US"/>
        </w:rPr>
      </w:pPr>
      <w:r w:rsidRPr="00CF7DF1">
        <w:rPr>
          <w:rFonts w:cs="Arial"/>
          <w:sz w:val="20"/>
          <w:szCs w:val="20"/>
          <w:lang w:val="en-US"/>
        </w:rPr>
        <w:t>“Long-term borrowings”, “Short-term borrowings”, and “Current portion of long-term borrowings”, “Other non-current financial liabilities” and “Other current financial liabilities included in net financial debt” included in “Other current financial liabilities”;</w:t>
      </w:r>
    </w:p>
    <w:p w14:paraId="06F8600A" w14:textId="77777777" w:rsidR="00A57DF2" w:rsidRPr="00CF7DF1" w:rsidRDefault="00A57DF2" w:rsidP="00A57DF2">
      <w:pPr>
        <w:pStyle w:val="bullet"/>
        <w:numPr>
          <w:ilvl w:val="0"/>
          <w:numId w:val="4"/>
        </w:numPr>
        <w:spacing w:line="240" w:lineRule="auto"/>
        <w:ind w:left="709" w:hanging="425"/>
        <w:contextualSpacing/>
        <w:jc w:val="both"/>
        <w:rPr>
          <w:rFonts w:cs="Arial"/>
          <w:sz w:val="20"/>
          <w:szCs w:val="20"/>
          <w:lang w:val="en-US"/>
        </w:rPr>
      </w:pPr>
      <w:r w:rsidRPr="00CF7DF1">
        <w:rPr>
          <w:rFonts w:cs="Arial"/>
          <w:sz w:val="20"/>
          <w:szCs w:val="20"/>
          <w:lang w:val="en-US"/>
        </w:rPr>
        <w:t>net of “Cash and cash equivalents”;</w:t>
      </w:r>
    </w:p>
    <w:p w14:paraId="0189100A" w14:textId="77777777" w:rsidR="00A57DF2" w:rsidRPr="00CF7DF1" w:rsidRDefault="00A57DF2" w:rsidP="00A57DF2">
      <w:pPr>
        <w:pStyle w:val="bullet"/>
        <w:numPr>
          <w:ilvl w:val="0"/>
          <w:numId w:val="4"/>
        </w:numPr>
        <w:spacing w:line="240" w:lineRule="auto"/>
        <w:ind w:left="709" w:hanging="425"/>
        <w:contextualSpacing/>
        <w:jc w:val="both"/>
        <w:rPr>
          <w:rFonts w:cs="Arial"/>
          <w:sz w:val="20"/>
          <w:szCs w:val="20"/>
          <w:lang w:val="en-US"/>
        </w:rPr>
      </w:pPr>
      <w:r w:rsidRPr="00CF7DF1">
        <w:rPr>
          <w:rFonts w:cs="Arial"/>
          <w:sz w:val="20"/>
          <w:szCs w:val="20"/>
          <w:lang w:val="en-US"/>
        </w:rPr>
        <w:t>net of “Other current financial assets included in net financial debt” included in “Other current financial assets”, which includes: (i)</w:t>
      </w:r>
      <w:r>
        <w:rPr>
          <w:rFonts w:cs="Arial"/>
          <w:sz w:val="20"/>
          <w:szCs w:val="20"/>
          <w:lang w:val="en-US"/>
        </w:rPr>
        <w:t xml:space="preserve"> current financial receivables, (ii)</w:t>
      </w:r>
      <w:r w:rsidRPr="00CF7DF1">
        <w:rPr>
          <w:rFonts w:cs="Arial"/>
          <w:sz w:val="20"/>
          <w:szCs w:val="20"/>
          <w:lang w:val="en-US"/>
        </w:rPr>
        <w:t xml:space="preserve"> the current portion of long-term loan assets, </w:t>
      </w:r>
      <w:r>
        <w:rPr>
          <w:rFonts w:cs="Arial"/>
          <w:sz w:val="20"/>
          <w:szCs w:val="20"/>
          <w:lang w:val="en-US"/>
        </w:rPr>
        <w:t xml:space="preserve">and </w:t>
      </w:r>
      <w:r w:rsidRPr="00CF7DF1">
        <w:rPr>
          <w:rFonts w:cs="Arial"/>
          <w:sz w:val="20"/>
          <w:szCs w:val="20"/>
          <w:lang w:val="en-US"/>
        </w:rPr>
        <w:t>(ii</w:t>
      </w:r>
      <w:r>
        <w:rPr>
          <w:rFonts w:cs="Arial"/>
          <w:sz w:val="20"/>
          <w:szCs w:val="20"/>
          <w:lang w:val="en-US"/>
        </w:rPr>
        <w:t>i</w:t>
      </w:r>
      <w:r w:rsidRPr="00CF7DF1">
        <w:rPr>
          <w:rFonts w:cs="Arial"/>
          <w:sz w:val="20"/>
          <w:szCs w:val="20"/>
          <w:lang w:val="en-US"/>
        </w:rPr>
        <w:t>) securities;</w:t>
      </w:r>
    </w:p>
    <w:p w14:paraId="02391026" w14:textId="77777777" w:rsidR="00A57DF2" w:rsidRPr="00CF7DF1" w:rsidRDefault="00A57DF2" w:rsidP="00A57DF2">
      <w:pPr>
        <w:pStyle w:val="bullet"/>
        <w:numPr>
          <w:ilvl w:val="0"/>
          <w:numId w:val="4"/>
        </w:numPr>
        <w:spacing w:line="240" w:lineRule="auto"/>
        <w:ind w:left="709" w:hanging="425"/>
        <w:contextualSpacing/>
        <w:jc w:val="both"/>
        <w:rPr>
          <w:rFonts w:cs="Arial"/>
          <w:sz w:val="20"/>
          <w:szCs w:val="20"/>
          <w:lang w:val="en-US"/>
        </w:rPr>
      </w:pPr>
      <w:r w:rsidRPr="00CF7DF1">
        <w:rPr>
          <w:rFonts w:cs="Arial"/>
          <w:sz w:val="20"/>
          <w:szCs w:val="20"/>
          <w:lang w:val="en-US"/>
        </w:rPr>
        <w:t xml:space="preserve">net of “Other non-current financial assets included in net financial debt” included in “Other non-current financial assets”, which includes (i) </w:t>
      </w:r>
      <w:r>
        <w:rPr>
          <w:rFonts w:cs="Arial"/>
          <w:sz w:val="20"/>
          <w:szCs w:val="20"/>
          <w:lang w:val="en-US"/>
        </w:rPr>
        <w:t>financial receivables</w:t>
      </w:r>
      <w:r w:rsidRPr="00CF7DF1">
        <w:rPr>
          <w:rFonts w:cs="Arial"/>
          <w:sz w:val="20"/>
          <w:szCs w:val="20"/>
          <w:lang w:val="en-US"/>
        </w:rPr>
        <w:t xml:space="preserve"> and (ii) </w:t>
      </w:r>
      <w:r>
        <w:rPr>
          <w:rFonts w:cs="Arial"/>
          <w:sz w:val="20"/>
          <w:szCs w:val="20"/>
          <w:lang w:val="en-US"/>
        </w:rPr>
        <w:t>securities</w:t>
      </w:r>
      <w:r w:rsidRPr="00CF7DF1">
        <w:rPr>
          <w:rFonts w:cs="Arial"/>
          <w:sz w:val="20"/>
          <w:szCs w:val="20"/>
          <w:lang w:val="en-US"/>
        </w:rPr>
        <w:t>.</w:t>
      </w:r>
    </w:p>
    <w:p w14:paraId="622D4457" w14:textId="77777777" w:rsidR="00A57DF2" w:rsidRPr="00CF7DF1" w:rsidRDefault="00A57DF2" w:rsidP="00A57DF2">
      <w:pPr>
        <w:pStyle w:val="bullet"/>
        <w:numPr>
          <w:ilvl w:val="0"/>
          <w:numId w:val="0"/>
        </w:numPr>
        <w:spacing w:line="240" w:lineRule="auto"/>
        <w:ind w:left="709"/>
        <w:contextualSpacing/>
        <w:jc w:val="both"/>
        <w:rPr>
          <w:rFonts w:cs="Arial"/>
          <w:sz w:val="20"/>
          <w:szCs w:val="20"/>
          <w:lang w:val="en-US"/>
        </w:rPr>
      </w:pPr>
    </w:p>
    <w:p w14:paraId="7DA3AE54" w14:textId="77777777" w:rsidR="00A57DF2" w:rsidRPr="00BE1685" w:rsidRDefault="00A57DF2" w:rsidP="00A57DF2">
      <w:pPr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 w:rsidRPr="00BE1685">
        <w:rPr>
          <w:rFonts w:ascii="Arial" w:hAnsi="Arial" w:cs="Arial"/>
          <w:sz w:val="20"/>
          <w:szCs w:val="20"/>
          <w:lang w:val="en-US"/>
        </w:rPr>
        <w:t>More generally, the net financial debt of the Enel Group is reported in accordance with</w:t>
      </w:r>
      <w:r>
        <w:rPr>
          <w:rFonts w:ascii="Arial" w:hAnsi="Arial" w:cs="Arial"/>
          <w:sz w:val="20"/>
          <w:szCs w:val="20"/>
          <w:lang w:val="en-US"/>
        </w:rPr>
        <w:t xml:space="preserve"> the provisions of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 Guideline </w:t>
      </w:r>
      <w:r>
        <w:rPr>
          <w:rFonts w:ascii="Arial" w:hAnsi="Arial" w:cs="Arial"/>
          <w:sz w:val="20"/>
          <w:szCs w:val="20"/>
          <w:lang w:val="en-US"/>
        </w:rPr>
        <w:t xml:space="preserve">no. </w:t>
      </w:r>
      <w:r w:rsidRPr="00BE1685">
        <w:rPr>
          <w:rFonts w:ascii="Arial" w:hAnsi="Arial" w:cs="Arial"/>
          <w:sz w:val="20"/>
          <w:szCs w:val="20"/>
          <w:lang w:val="en-US"/>
        </w:rPr>
        <w:t>39, issued on March 4</w:t>
      </w:r>
      <w:r w:rsidRPr="00BE168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BE1685">
        <w:rPr>
          <w:rFonts w:ascii="Arial" w:hAnsi="Arial" w:cs="Arial"/>
          <w:sz w:val="20"/>
          <w:szCs w:val="20"/>
          <w:lang w:val="en-US"/>
        </w:rPr>
        <w:t>, 2021 by ESMA, applicable as from May 5</w:t>
      </w:r>
      <w:r w:rsidRPr="00BE168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, 2021, and with the above </w:t>
      </w:r>
      <w:r>
        <w:rPr>
          <w:rFonts w:ascii="Arial" w:hAnsi="Arial" w:cs="Arial"/>
          <w:sz w:val="20"/>
          <w:szCs w:val="20"/>
          <w:lang w:val="en-US"/>
        </w:rPr>
        <w:t>W</w:t>
      </w:r>
      <w:r w:rsidRPr="00BE1685">
        <w:rPr>
          <w:rFonts w:ascii="Arial" w:hAnsi="Arial" w:cs="Arial"/>
          <w:sz w:val="20"/>
          <w:szCs w:val="20"/>
          <w:lang w:val="en-US"/>
        </w:rPr>
        <w:t xml:space="preserve">arning 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BE1685">
        <w:rPr>
          <w:rFonts w:ascii="Arial" w:hAnsi="Arial" w:cs="Arial"/>
          <w:sz w:val="20"/>
          <w:szCs w:val="20"/>
          <w:lang w:val="en-US"/>
        </w:rPr>
        <w:t>otice no. 5</w:t>
      </w:r>
      <w:r>
        <w:rPr>
          <w:rFonts w:ascii="Arial" w:hAnsi="Arial" w:cs="Arial"/>
          <w:sz w:val="20"/>
          <w:szCs w:val="20"/>
          <w:lang w:val="en-US"/>
        </w:rPr>
        <w:t>/</w:t>
      </w:r>
      <w:r w:rsidRPr="00BE1685">
        <w:rPr>
          <w:rFonts w:ascii="Arial" w:hAnsi="Arial" w:cs="Arial"/>
          <w:sz w:val="20"/>
          <w:szCs w:val="20"/>
          <w:lang w:val="en-US"/>
        </w:rPr>
        <w:t>21 issued by CONSOB on April 29</w:t>
      </w:r>
      <w:r w:rsidRPr="00BE168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BE1685">
        <w:rPr>
          <w:rFonts w:ascii="Arial" w:hAnsi="Arial" w:cs="Arial"/>
          <w:sz w:val="20"/>
          <w:szCs w:val="20"/>
          <w:lang w:val="en-US"/>
        </w:rPr>
        <w:t>, 2021.</w:t>
      </w:r>
    </w:p>
    <w:p w14:paraId="0B63D39D" w14:textId="77777777" w:rsidR="00A57DF2" w:rsidRPr="00BE1685" w:rsidRDefault="00A57DF2" w:rsidP="00A57DF2">
      <w:pPr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14:paraId="0FB9F4B2" w14:textId="77777777" w:rsidR="00A57DF2" w:rsidRPr="00052D76" w:rsidRDefault="00A57DF2" w:rsidP="00A57DF2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12E38F83" w14:textId="77777777" w:rsidR="00B711F7" w:rsidRPr="005E3F42" w:rsidRDefault="00B711F7" w:rsidP="00EF63A1">
      <w:pPr>
        <w:jc w:val="both"/>
        <w:rPr>
          <w:rFonts w:ascii="Arial" w:hAnsi="Arial" w:cs="Arial"/>
          <w:lang w:val="en-US"/>
        </w:rPr>
      </w:pPr>
    </w:p>
    <w:sectPr w:rsidR="00B711F7" w:rsidRPr="005E3F42" w:rsidSect="003959B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665" w:right="1134" w:bottom="2268" w:left="1418" w:header="113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1D8A" w14:textId="77777777" w:rsidR="00000C8E" w:rsidRDefault="00000C8E" w:rsidP="00717BB2">
      <w:r>
        <w:separator/>
      </w:r>
    </w:p>
  </w:endnote>
  <w:endnote w:type="continuationSeparator" w:id="0">
    <w:p w14:paraId="6DC4EAD4" w14:textId="77777777" w:rsidR="00000C8E" w:rsidRDefault="00000C8E" w:rsidP="00717BB2">
      <w:r>
        <w:continuationSeparator/>
      </w:r>
    </w:p>
  </w:endnote>
  <w:endnote w:type="continuationNotice" w:id="1">
    <w:p w14:paraId="431D41E3" w14:textId="77777777" w:rsidR="00000C8E" w:rsidRDefault="00000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LT Std 45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Std 65 Bold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BABC" w14:textId="61285004" w:rsidR="00CC689E" w:rsidRPr="0091263A" w:rsidRDefault="00CC689E" w:rsidP="00155B8D">
    <w:pPr>
      <w:pStyle w:val="Piedepgina"/>
      <w:jc w:val="right"/>
      <w:rPr>
        <w:rStyle w:val="Nmerodepgina"/>
        <w:rFonts w:ascii="Arial" w:hAnsi="Arial" w:cs="Arial"/>
        <w:sz w:val="20"/>
        <w:szCs w:val="20"/>
      </w:rPr>
    </w:pPr>
    <w:r w:rsidRPr="0091263A">
      <w:rPr>
        <w:rStyle w:val="Nmerodepgina"/>
        <w:rFonts w:ascii="Arial" w:hAnsi="Arial" w:cs="Arial"/>
        <w:sz w:val="20"/>
        <w:szCs w:val="20"/>
      </w:rPr>
      <w:fldChar w:fldCharType="begin"/>
    </w:r>
    <w:r w:rsidRPr="0091263A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91263A">
      <w:rPr>
        <w:rStyle w:val="Nmerodepgina"/>
        <w:rFonts w:ascii="Arial" w:hAnsi="Arial" w:cs="Arial"/>
        <w:sz w:val="20"/>
        <w:szCs w:val="20"/>
      </w:rPr>
      <w:fldChar w:fldCharType="separate"/>
    </w:r>
    <w:r w:rsidR="007E5CA3">
      <w:rPr>
        <w:rStyle w:val="Nmerodepgina"/>
        <w:rFonts w:ascii="Arial" w:hAnsi="Arial" w:cs="Arial"/>
        <w:noProof/>
        <w:sz w:val="20"/>
        <w:szCs w:val="20"/>
      </w:rPr>
      <w:t>3</w:t>
    </w:r>
    <w:r w:rsidRPr="0091263A">
      <w:rPr>
        <w:rStyle w:val="Nmerodepgina"/>
        <w:rFonts w:ascii="Arial" w:hAnsi="Arial" w:cs="Arial"/>
        <w:sz w:val="20"/>
        <w:szCs w:val="20"/>
      </w:rPr>
      <w:fldChar w:fldCharType="end"/>
    </w:r>
  </w:p>
  <w:p w14:paraId="190BBC1B" w14:textId="77777777" w:rsidR="00CC689E" w:rsidRDefault="00CC689E" w:rsidP="00155B8D">
    <w:pPr>
      <w:pStyle w:val="Piedepgina"/>
      <w:jc w:val="right"/>
      <w:rPr>
        <w:rStyle w:val="Nmerodepgina"/>
        <w:rFonts w:ascii="Univers LT Std 45 Light" w:hAnsi="Univers LT Std 45 Light"/>
        <w:sz w:val="20"/>
        <w:szCs w:val="20"/>
      </w:rPr>
    </w:pPr>
  </w:p>
  <w:p w14:paraId="723C0A4F" w14:textId="77777777" w:rsidR="00CC689E" w:rsidRPr="00357224" w:rsidRDefault="00CC689E" w:rsidP="00357224">
    <w:pPr>
      <w:pStyle w:val="Piedepgina"/>
    </w:pPr>
  </w:p>
  <w:p w14:paraId="046462E0" w14:textId="77777777" w:rsidR="00CC689E" w:rsidRDefault="00CC689E" w:rsidP="00EF515D">
    <w:pPr>
      <w:pStyle w:val="Piedepgina"/>
      <w:tabs>
        <w:tab w:val="clear" w:pos="8504"/>
        <w:tab w:val="right" w:pos="2835"/>
      </w:tabs>
      <w:rPr>
        <w:rStyle w:val="Nmerodepgina"/>
      </w:rPr>
    </w:pPr>
  </w:p>
  <w:p w14:paraId="1A31EDB0" w14:textId="77777777" w:rsidR="00CC689E" w:rsidRDefault="00CC689E" w:rsidP="00155B8D">
    <w:pPr>
      <w:pStyle w:val="Piedepgina"/>
      <w:jc w:val="right"/>
      <w:rPr>
        <w:rStyle w:val="Nmerodepgina"/>
      </w:rPr>
    </w:pPr>
  </w:p>
  <w:p w14:paraId="08784944" w14:textId="77777777" w:rsidR="00CC689E" w:rsidRPr="008729F1" w:rsidRDefault="00CC689E" w:rsidP="00155B8D">
    <w:pPr>
      <w:pStyle w:val="Encabezado"/>
      <w:spacing w:line="180" w:lineRule="exact"/>
      <w:rPr>
        <w:rFonts w:ascii="Univers LT Std 65 Bold" w:hAnsi="Univers LT Std 65 Bold"/>
        <w:sz w:val="14"/>
        <w:szCs w:val="14"/>
      </w:rPr>
    </w:pPr>
  </w:p>
  <w:p w14:paraId="099F5E65" w14:textId="77777777" w:rsidR="00CC689E" w:rsidRDefault="00CC689E" w:rsidP="00155B8D">
    <w:pPr>
      <w:pStyle w:val="Piedepgina"/>
      <w:jc w:val="right"/>
    </w:pPr>
  </w:p>
  <w:p w14:paraId="0A54EC57" w14:textId="77777777" w:rsidR="007E2839" w:rsidRDefault="007E28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4BF16" w14:textId="316BB506" w:rsidR="00CC689E" w:rsidRPr="000C7543" w:rsidRDefault="00CC689E" w:rsidP="005D1B60">
    <w:pPr>
      <w:pStyle w:val="Piedepgina"/>
      <w:tabs>
        <w:tab w:val="clear" w:pos="8504"/>
        <w:tab w:val="right" w:pos="2835"/>
      </w:tabs>
      <w:jc w:val="right"/>
      <w:rPr>
        <w:rFonts w:ascii="Arial" w:hAnsi="Arial" w:cs="Arial"/>
        <w:sz w:val="20"/>
        <w:szCs w:val="20"/>
        <w:lang w:val="en-US"/>
      </w:rPr>
    </w:pPr>
    <w:r w:rsidRPr="0091263A">
      <w:rPr>
        <w:rFonts w:ascii="Arial" w:hAnsi="Arial" w:cs="Arial"/>
        <w:sz w:val="20"/>
        <w:szCs w:val="20"/>
      </w:rPr>
      <w:fldChar w:fldCharType="begin"/>
    </w:r>
    <w:r w:rsidRPr="000C7543">
      <w:rPr>
        <w:rFonts w:ascii="Arial" w:hAnsi="Arial" w:cs="Arial"/>
        <w:sz w:val="20"/>
        <w:szCs w:val="20"/>
        <w:lang w:val="en-US"/>
      </w:rPr>
      <w:instrText xml:space="preserve"> PAGE </w:instrText>
    </w:r>
    <w:r w:rsidRPr="0091263A">
      <w:rPr>
        <w:rFonts w:ascii="Arial" w:hAnsi="Arial" w:cs="Arial"/>
        <w:sz w:val="20"/>
        <w:szCs w:val="20"/>
      </w:rPr>
      <w:fldChar w:fldCharType="separate"/>
    </w:r>
    <w:r w:rsidR="007E5CA3" w:rsidRPr="000C7543">
      <w:rPr>
        <w:rFonts w:ascii="Arial" w:hAnsi="Arial" w:cs="Arial"/>
        <w:noProof/>
        <w:sz w:val="20"/>
        <w:szCs w:val="20"/>
        <w:lang w:val="en-US"/>
      </w:rPr>
      <w:t>1</w:t>
    </w:r>
    <w:r w:rsidRPr="0091263A">
      <w:rPr>
        <w:rFonts w:ascii="Arial" w:hAnsi="Arial" w:cs="Arial"/>
        <w:sz w:val="20"/>
        <w:szCs w:val="20"/>
      </w:rPr>
      <w:fldChar w:fldCharType="end"/>
    </w:r>
  </w:p>
  <w:p w14:paraId="1363720E" w14:textId="77777777" w:rsidR="00CC689E" w:rsidRPr="000C7543" w:rsidRDefault="00CC689E" w:rsidP="008D6CE6">
    <w:pPr>
      <w:pStyle w:val="Piedepgina"/>
      <w:jc w:val="right"/>
      <w:rPr>
        <w:rStyle w:val="Nmerodepgina"/>
        <w:lang w:val="en-US"/>
      </w:rPr>
    </w:pPr>
  </w:p>
  <w:p w14:paraId="691B4C5D" w14:textId="77777777" w:rsidR="00CC689E" w:rsidRPr="000C7543" w:rsidRDefault="00CC689E" w:rsidP="008D6CE6">
    <w:pPr>
      <w:pStyle w:val="Encabezado"/>
      <w:spacing w:line="180" w:lineRule="exact"/>
      <w:rPr>
        <w:rFonts w:ascii="Arial" w:hAnsi="Arial" w:cs="Arial"/>
        <w:b/>
        <w:sz w:val="14"/>
        <w:szCs w:val="14"/>
        <w:lang w:val="en-US"/>
      </w:rPr>
    </w:pPr>
  </w:p>
  <w:p w14:paraId="574D7E59" w14:textId="77777777" w:rsidR="00CC689E" w:rsidRPr="000C7543" w:rsidRDefault="00CC689E" w:rsidP="008D6CE6">
    <w:pPr>
      <w:pStyle w:val="Encabezado"/>
      <w:spacing w:line="180" w:lineRule="exact"/>
      <w:rPr>
        <w:rFonts w:ascii="Arial" w:hAnsi="Arial" w:cs="Arial"/>
        <w:b/>
        <w:sz w:val="14"/>
        <w:szCs w:val="14"/>
        <w:lang w:val="en-US"/>
      </w:rPr>
    </w:pPr>
  </w:p>
  <w:p w14:paraId="52F5121E" w14:textId="77777777" w:rsidR="00CC689E" w:rsidRPr="000C7543" w:rsidRDefault="00CC689E" w:rsidP="008D6CE6">
    <w:pPr>
      <w:pStyle w:val="Encabezado"/>
      <w:spacing w:line="180" w:lineRule="exact"/>
      <w:rPr>
        <w:rFonts w:ascii="Arial" w:hAnsi="Arial" w:cs="Arial"/>
        <w:b/>
        <w:sz w:val="14"/>
        <w:szCs w:val="14"/>
        <w:lang w:val="en-US"/>
      </w:rPr>
    </w:pPr>
  </w:p>
  <w:p w14:paraId="1EC4F76C" w14:textId="77777777" w:rsidR="00CC689E" w:rsidRPr="000C7543" w:rsidRDefault="00CC689E" w:rsidP="008D6CE6">
    <w:pPr>
      <w:pStyle w:val="Encabezado"/>
      <w:spacing w:line="180" w:lineRule="exact"/>
      <w:rPr>
        <w:rFonts w:ascii="Arial" w:hAnsi="Arial" w:cs="Arial"/>
        <w:b/>
        <w:sz w:val="14"/>
        <w:szCs w:val="14"/>
        <w:lang w:val="en-US"/>
      </w:rPr>
    </w:pPr>
  </w:p>
  <w:p w14:paraId="46D3D356" w14:textId="2A3F901D" w:rsidR="006E6147" w:rsidRDefault="006E6147" w:rsidP="006E6147">
    <w:pPr>
      <w:pStyle w:val="Encabezado"/>
      <w:spacing w:line="180" w:lineRule="exac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b/>
        <w:sz w:val="14"/>
        <w:szCs w:val="14"/>
        <w:lang w:val="en-US"/>
      </w:rPr>
      <w:t>Enel SpA</w:t>
    </w:r>
    <w:r>
      <w:rPr>
        <w:lang w:val="en-US"/>
      </w:rPr>
      <w:t xml:space="preserve"> </w:t>
    </w:r>
    <w:r>
      <w:rPr>
        <w:rFonts w:ascii="Arial" w:hAnsi="Arial" w:cs="Arial"/>
        <w:sz w:val="14"/>
        <w:szCs w:val="14"/>
        <w:lang w:val="en-US"/>
      </w:rPr>
      <w:t xml:space="preserve">– </w:t>
    </w:r>
    <w:r>
      <w:rPr>
        <w:rStyle w:val="Nmerodepgina"/>
        <w:rFonts w:ascii="Arial" w:hAnsi="Arial" w:cs="Arial"/>
        <w:sz w:val="14"/>
        <w:szCs w:val="14"/>
        <w:lang w:val="en-US"/>
      </w:rPr>
      <w:t xml:space="preserve">Registered Office: 00198 Rome – Italy - Viale Regina Margherita 137 – Companies Register of Rome and Tax I.D. 00811720580 - R.E.A. 756032 – VAT Code 00934061003 – </w:t>
    </w:r>
    <w:r>
      <w:rPr>
        <w:rFonts w:ascii="Arial" w:hAnsi="Arial" w:cs="Arial"/>
        <w:sz w:val="14"/>
        <w:szCs w:val="14"/>
        <w:lang w:val="en-US"/>
      </w:rPr>
      <w:t>Stock Capital Euro 10,166,679,946.</w:t>
    </w:r>
  </w:p>
  <w:p w14:paraId="5FAC4F42" w14:textId="77777777" w:rsidR="007E2839" w:rsidRPr="006E6147" w:rsidRDefault="007E283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DDC29" w14:textId="77777777" w:rsidR="00000C8E" w:rsidRDefault="00000C8E" w:rsidP="00717BB2">
      <w:r>
        <w:separator/>
      </w:r>
    </w:p>
  </w:footnote>
  <w:footnote w:type="continuationSeparator" w:id="0">
    <w:p w14:paraId="43D69433" w14:textId="77777777" w:rsidR="00000C8E" w:rsidRDefault="00000C8E" w:rsidP="00717BB2">
      <w:r>
        <w:continuationSeparator/>
      </w:r>
    </w:p>
  </w:footnote>
  <w:footnote w:type="continuationNotice" w:id="1">
    <w:p w14:paraId="183833BA" w14:textId="77777777" w:rsidR="00000C8E" w:rsidRDefault="00000C8E"/>
  </w:footnote>
  <w:footnote w:id="2">
    <w:p w14:paraId="6E5B2223" w14:textId="4BC3423E" w:rsidR="006E49BA" w:rsidRPr="00124644" w:rsidRDefault="006E49BA">
      <w:pPr>
        <w:pStyle w:val="Textonotapie"/>
        <w:rPr>
          <w:rFonts w:ascii="Arial" w:hAnsi="Arial" w:cs="Arial"/>
          <w:sz w:val="16"/>
          <w:szCs w:val="16"/>
          <w:lang w:val="en-US"/>
        </w:rPr>
      </w:pPr>
      <w:r w:rsidRPr="00124644">
        <w:rPr>
          <w:rStyle w:val="Refdenotaalpie"/>
          <w:rFonts w:ascii="Arial" w:hAnsi="Arial" w:cs="Arial"/>
          <w:sz w:val="16"/>
          <w:szCs w:val="16"/>
        </w:rPr>
        <w:footnoteRef/>
      </w:r>
      <w:r w:rsidRPr="00124644">
        <w:rPr>
          <w:rFonts w:ascii="Arial" w:hAnsi="Arial" w:cs="Arial"/>
          <w:sz w:val="16"/>
          <w:szCs w:val="16"/>
          <w:lang w:val="en-US"/>
        </w:rPr>
        <w:t xml:space="preserve"> With all planned deals already closed or to be closed by year-end.</w:t>
      </w:r>
    </w:p>
  </w:footnote>
  <w:footnote w:id="3">
    <w:p w14:paraId="2306BE9D" w14:textId="794FFD98" w:rsidR="00CC623F" w:rsidRPr="00124644" w:rsidRDefault="00CC623F">
      <w:pPr>
        <w:pStyle w:val="Textonotapie"/>
        <w:rPr>
          <w:rFonts w:ascii="Arial" w:hAnsi="Arial" w:cs="Arial"/>
          <w:sz w:val="16"/>
          <w:szCs w:val="16"/>
          <w:lang w:val="en-US"/>
        </w:rPr>
      </w:pPr>
      <w:r w:rsidRPr="00124644">
        <w:rPr>
          <w:rStyle w:val="Refdenotaalpie"/>
          <w:rFonts w:ascii="Arial" w:hAnsi="Arial" w:cs="Arial"/>
          <w:sz w:val="16"/>
          <w:szCs w:val="16"/>
        </w:rPr>
        <w:footnoteRef/>
      </w:r>
      <w:r w:rsidRPr="00124644">
        <w:rPr>
          <w:rFonts w:ascii="Arial" w:hAnsi="Arial" w:cs="Arial"/>
          <w:sz w:val="16"/>
          <w:szCs w:val="16"/>
          <w:lang w:val="en-US"/>
        </w:rPr>
        <w:t xml:space="preserve"> In core countries</w:t>
      </w:r>
      <w:r w:rsidR="00EF3809">
        <w:rPr>
          <w:rFonts w:ascii="Arial" w:hAnsi="Arial" w:cs="Arial"/>
          <w:sz w:val="16"/>
          <w:szCs w:val="16"/>
          <w:lang w:val="en-US"/>
        </w:rPr>
        <w:t>.</w:t>
      </w:r>
    </w:p>
  </w:footnote>
  <w:footnote w:id="4">
    <w:p w14:paraId="591F91CE" w14:textId="75BBC43C" w:rsidR="00E67A8E" w:rsidRPr="0020458C" w:rsidRDefault="00E67A8E" w:rsidP="009F2C13">
      <w:pPr>
        <w:pStyle w:val="Textonotapie"/>
        <w:jc w:val="both"/>
        <w:rPr>
          <w:rFonts w:ascii="Arial" w:hAnsi="Arial" w:cs="Arial"/>
          <w:sz w:val="16"/>
          <w:szCs w:val="16"/>
          <w:lang w:val="en-US"/>
        </w:rPr>
      </w:pPr>
      <w:r w:rsidRPr="0020458C">
        <w:rPr>
          <w:rStyle w:val="Refdenotaalpie"/>
          <w:rFonts w:ascii="Arial" w:hAnsi="Arial" w:cs="Arial"/>
          <w:sz w:val="16"/>
          <w:szCs w:val="16"/>
        </w:rPr>
        <w:footnoteRef/>
      </w:r>
      <w:r w:rsidRPr="0020458C">
        <w:rPr>
          <w:rFonts w:ascii="Arial" w:hAnsi="Arial" w:cs="Arial"/>
          <w:sz w:val="16"/>
          <w:szCs w:val="16"/>
          <w:lang w:val="en-US"/>
        </w:rPr>
        <w:t xml:space="preserve"> Calculated on mid-point of the guidance range.</w:t>
      </w:r>
    </w:p>
  </w:footnote>
  <w:footnote w:id="5">
    <w:p w14:paraId="4E783986" w14:textId="5E45D0BC" w:rsidR="00B711F7" w:rsidRPr="00135850" w:rsidRDefault="00B711F7" w:rsidP="009F2C13">
      <w:pPr>
        <w:pStyle w:val="Textonotapie"/>
        <w:jc w:val="both"/>
        <w:rPr>
          <w:rFonts w:ascii="Arial" w:hAnsi="Arial" w:cs="Arial"/>
          <w:sz w:val="16"/>
          <w:szCs w:val="16"/>
          <w:lang w:val="en-US"/>
        </w:rPr>
      </w:pPr>
      <w:r w:rsidRPr="009F2C13">
        <w:rPr>
          <w:rStyle w:val="Refdenotaalpie"/>
          <w:rFonts w:ascii="Arial" w:hAnsi="Arial" w:cs="Arial"/>
          <w:sz w:val="16"/>
          <w:szCs w:val="16"/>
        </w:rPr>
        <w:footnoteRef/>
      </w:r>
      <w:r w:rsidRPr="009F2C13">
        <w:rPr>
          <w:rFonts w:ascii="Arial" w:hAnsi="Arial" w:cs="Arial"/>
          <w:sz w:val="16"/>
          <w:szCs w:val="16"/>
          <w:lang w:val="en-US"/>
        </w:rPr>
        <w:t xml:space="preserve"> </w:t>
      </w:r>
      <w:r w:rsidR="00BE5162">
        <w:rPr>
          <w:rFonts w:ascii="Arial" w:hAnsi="Arial" w:cs="Arial"/>
          <w:sz w:val="16"/>
          <w:szCs w:val="16"/>
          <w:lang w:val="en-US"/>
        </w:rPr>
        <w:t xml:space="preserve">On a </w:t>
      </w:r>
      <w:r w:rsidR="00BE5162" w:rsidRPr="00BE5162">
        <w:rPr>
          <w:rFonts w:ascii="Arial" w:hAnsi="Arial" w:cs="Arial"/>
          <w:sz w:val="16"/>
          <w:szCs w:val="16"/>
          <w:lang w:val="en-US"/>
        </w:rPr>
        <w:t>like-for-like basis</w:t>
      </w:r>
      <w:r w:rsidR="00183C36">
        <w:rPr>
          <w:rFonts w:ascii="Arial" w:hAnsi="Arial" w:cs="Arial"/>
          <w:sz w:val="16"/>
          <w:szCs w:val="16"/>
          <w:lang w:val="en-US"/>
        </w:rPr>
        <w:t xml:space="preserve">, </w:t>
      </w:r>
      <w:r w:rsidR="00BE5162" w:rsidRPr="00BE5162">
        <w:rPr>
          <w:rFonts w:ascii="Arial" w:hAnsi="Arial" w:cs="Arial"/>
          <w:sz w:val="16"/>
          <w:szCs w:val="16"/>
          <w:lang w:val="en-US"/>
        </w:rPr>
        <w:t>exclud</w:t>
      </w:r>
      <w:r w:rsidR="00183C36">
        <w:rPr>
          <w:rFonts w:ascii="Arial" w:hAnsi="Arial" w:cs="Arial"/>
          <w:sz w:val="16"/>
          <w:szCs w:val="16"/>
          <w:lang w:val="en-US"/>
        </w:rPr>
        <w:t>ing</w:t>
      </w:r>
      <w:r w:rsidR="0020458C">
        <w:rPr>
          <w:rFonts w:ascii="Arial" w:hAnsi="Arial" w:cs="Arial"/>
          <w:sz w:val="16"/>
          <w:szCs w:val="16"/>
          <w:lang w:val="en-US"/>
        </w:rPr>
        <w:t xml:space="preserve"> the impact from disposals</w:t>
      </w:r>
      <w:r w:rsidR="00BB5CEA">
        <w:rPr>
          <w:rFonts w:ascii="Arial" w:hAnsi="Arial" w:cs="Arial"/>
          <w:sz w:val="16"/>
          <w:szCs w:val="16"/>
          <w:lang w:val="en-US"/>
        </w:rPr>
        <w:t xml:space="preserve"> and the capital gains relating to Stewardship business</w:t>
      </w:r>
      <w:r w:rsidRPr="00135850">
        <w:rPr>
          <w:rFonts w:ascii="Arial" w:hAnsi="Arial" w:cs="Arial"/>
          <w:sz w:val="16"/>
          <w:szCs w:val="16"/>
          <w:lang w:val="en-US"/>
        </w:rPr>
        <w:t xml:space="preserve">.  </w:t>
      </w:r>
    </w:p>
  </w:footnote>
  <w:footnote w:id="6">
    <w:p w14:paraId="2C462F25" w14:textId="58334C1B" w:rsidR="00A57DF2" w:rsidRPr="00CF7DF1" w:rsidRDefault="00A57DF2" w:rsidP="00A57DF2">
      <w:pPr>
        <w:pStyle w:val="Textonotapie"/>
        <w:jc w:val="both"/>
        <w:rPr>
          <w:rFonts w:ascii="Arial" w:hAnsi="Arial" w:cs="Arial"/>
          <w:sz w:val="16"/>
          <w:szCs w:val="16"/>
          <w:lang w:val="en-US"/>
        </w:rPr>
      </w:pPr>
      <w:r w:rsidRPr="00CF7DF1">
        <w:rPr>
          <w:rStyle w:val="Refdenotaalpie"/>
          <w:rFonts w:ascii="Arial" w:hAnsi="Arial" w:cs="Arial"/>
          <w:sz w:val="16"/>
          <w:szCs w:val="16"/>
        </w:rPr>
        <w:footnoteRef/>
      </w:r>
      <w:r w:rsidRPr="00CF7DF1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As an indicator of the operating performance, EBITDA is c</w:t>
      </w:r>
      <w:r w:rsidRPr="00CF7DF1">
        <w:rPr>
          <w:rFonts w:ascii="Arial" w:hAnsi="Arial" w:cs="Arial"/>
          <w:sz w:val="16"/>
          <w:szCs w:val="16"/>
          <w:lang w:val="en-US"/>
        </w:rPr>
        <w:t>alculated as the sum of “EBIT”, “Net impairment /(reversals) of trade receivables and other receivables” and “Depreciation, amortization and other impairment”</w:t>
      </w:r>
      <w:r w:rsidR="00B47F07">
        <w:rPr>
          <w:rFonts w:ascii="Arial" w:hAnsi="Arial" w:cs="Arial"/>
          <w:sz w:val="16"/>
          <w:szCs w:val="16"/>
          <w:lang w:val="en-US"/>
        </w:rPr>
        <w:t>.</w:t>
      </w:r>
    </w:p>
  </w:footnote>
  <w:footnote w:id="7">
    <w:p w14:paraId="1B8B5DFC" w14:textId="77777777" w:rsidR="00A57DF2" w:rsidRPr="00423AEE" w:rsidRDefault="00A57DF2" w:rsidP="00A57DF2">
      <w:pPr>
        <w:pStyle w:val="Textonotapie"/>
        <w:jc w:val="both"/>
        <w:rPr>
          <w:rFonts w:ascii="Arial" w:hAnsi="Arial" w:cs="Arial"/>
          <w:sz w:val="16"/>
          <w:szCs w:val="16"/>
          <w:lang w:val="en-US"/>
        </w:rPr>
      </w:pPr>
      <w:r w:rsidRPr="00CF7DF1">
        <w:rPr>
          <w:rStyle w:val="Refdenotaalpie"/>
          <w:rFonts w:ascii="Arial" w:hAnsi="Arial" w:cs="Arial"/>
          <w:sz w:val="16"/>
          <w:szCs w:val="16"/>
        </w:rPr>
        <w:footnoteRef/>
      </w:r>
      <w:r w:rsidRPr="00CF7DF1">
        <w:rPr>
          <w:rFonts w:ascii="Arial" w:hAnsi="Arial" w:cs="Arial"/>
          <w:sz w:val="16"/>
          <w:szCs w:val="16"/>
          <w:lang w:val="en-US"/>
        </w:rPr>
        <w:t xml:space="preserve"> Defined as EBIT integrated with the ordinary operating results of discontinued operations and stripped of the effects of non-core operations commented on in relation to ordinary EBITDA. Significant impairments are also excluded (including related reversals of impairment losses) recognized on assets and/or groups of assets, as a result of an assessment of the recoverability of their carrying amount, in accordance with “IAS 36 - Impairment of Assets” or “IFRS 5 - Non-current Assets Held for Sale and Discontinued Operations”.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F5F4" w14:textId="77777777" w:rsidR="00CC689E" w:rsidRDefault="00D50E68">
    <w:pPr>
      <w:pStyle w:val="Encabezado"/>
    </w:pPr>
    <w:r>
      <w:rPr>
        <w:noProof/>
        <w:lang w:val="es-ES"/>
      </w:rPr>
      <w:pict w14:anchorId="3AAD6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1.85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Enel_eng_pressReleaseTemplateWatermark"/>
          <w10:wrap anchorx="margin" anchory="margin"/>
        </v:shape>
      </w:pict>
    </w:r>
  </w:p>
  <w:p w14:paraId="32392195" w14:textId="77777777" w:rsidR="007E2839" w:rsidRDefault="007E28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A4FD" w14:textId="77777777" w:rsidR="00CC689E" w:rsidRDefault="00CC689E" w:rsidP="0045098A">
    <w:pPr>
      <w:pStyle w:val="Encabezado"/>
      <w:spacing w:line="180" w:lineRule="exact"/>
      <w:rPr>
        <w:rFonts w:ascii="Univers LT Std 45 Light" w:hAnsi="Univers LT Std 45 Light"/>
        <w:sz w:val="14"/>
        <w:szCs w:val="14"/>
      </w:rPr>
    </w:pPr>
    <w:r>
      <w:rPr>
        <w:rFonts w:ascii="Arial" w:hAnsi="Arial" w:cs="Arial"/>
        <w:b/>
        <w:noProof/>
        <w:sz w:val="14"/>
        <w:szCs w:val="14"/>
        <w:lang w:val="it-IT" w:eastAsia="it-IT"/>
      </w:rPr>
      <w:drawing>
        <wp:anchor distT="0" distB="0" distL="114300" distR="114300" simplePos="0" relativeHeight="251657216" behindDoc="0" locked="0" layoutInCell="1" allowOverlap="1" wp14:anchorId="17DACC28" wp14:editId="3FD6E755">
          <wp:simplePos x="0" y="0"/>
          <wp:positionH relativeFrom="margin">
            <wp:posOffset>0</wp:posOffset>
          </wp:positionH>
          <wp:positionV relativeFrom="margin">
            <wp:posOffset>-1257300</wp:posOffset>
          </wp:positionV>
          <wp:extent cx="1440180" cy="52260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D76144" w14:textId="77777777" w:rsidR="00CC689E" w:rsidRDefault="00CC689E" w:rsidP="000F248F">
    <w:pPr>
      <w:tabs>
        <w:tab w:val="left" w:pos="1105"/>
      </w:tabs>
    </w:pPr>
    <w:r>
      <w:rPr>
        <w:rFonts w:hint="eastAsia"/>
      </w:rPr>
      <w:tab/>
    </w:r>
  </w:p>
  <w:p w14:paraId="0F1019AF" w14:textId="77777777" w:rsidR="007E2839" w:rsidRDefault="007E28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87BC" w14:textId="77777777" w:rsidR="00CC689E" w:rsidRDefault="00CC689E" w:rsidP="00383656">
    <w:pPr>
      <w:pStyle w:val="Encabezado"/>
      <w:tabs>
        <w:tab w:val="clear" w:pos="4252"/>
        <w:tab w:val="clear" w:pos="8504"/>
        <w:tab w:val="left" w:pos="4678"/>
        <w:tab w:val="left" w:pos="6096"/>
      </w:tabs>
      <w:spacing w:line="180" w:lineRule="exac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  <w:lang w:val="it-IT" w:eastAsia="it-IT"/>
      </w:rPr>
      <w:drawing>
        <wp:anchor distT="0" distB="0" distL="114300" distR="114300" simplePos="0" relativeHeight="251656192" behindDoc="0" locked="0" layoutInCell="1" allowOverlap="1" wp14:anchorId="327588B0" wp14:editId="6209957D">
          <wp:simplePos x="0" y="0"/>
          <wp:positionH relativeFrom="margin">
            <wp:posOffset>0</wp:posOffset>
          </wp:positionH>
          <wp:positionV relativeFrom="margin">
            <wp:posOffset>-2555875</wp:posOffset>
          </wp:positionV>
          <wp:extent cx="1440180" cy="52260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31C4E" w14:textId="77777777" w:rsidR="00CC689E" w:rsidRDefault="00CC689E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71118A1D" w14:textId="77777777" w:rsidR="00CC689E" w:rsidRDefault="00CC689E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48EC7A10" w14:textId="77777777" w:rsidR="00CC689E" w:rsidRDefault="00CC689E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331397A6" w14:textId="791ECC38" w:rsidR="00CC689E" w:rsidRDefault="00CC689E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1AD7AFF" w14:textId="627DAF07" w:rsidR="00CC689E" w:rsidRDefault="00CC689E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47544B3F" w14:textId="2FB09ADB" w:rsidR="00CC689E" w:rsidRDefault="00CC689E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07D79C16" w14:textId="007B09E6" w:rsidR="00CC689E" w:rsidRDefault="00CC689E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758BB68E" w14:textId="2C601FE0" w:rsidR="00CC689E" w:rsidRDefault="00CC689E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0BE75921" w14:textId="0B377C79" w:rsidR="00CC689E" w:rsidRPr="00067C3C" w:rsidRDefault="003804E0" w:rsidP="00383656">
    <w:pPr>
      <w:pStyle w:val="Encabezado"/>
      <w:tabs>
        <w:tab w:val="left" w:pos="4678"/>
        <w:tab w:val="left" w:pos="7088"/>
      </w:tabs>
      <w:spacing w:line="180" w:lineRule="exact"/>
      <w:rPr>
        <w:rFonts w:ascii="Arial" w:hAnsi="Arial"/>
        <w:b/>
        <w:sz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564CBC41" wp14:editId="3D0568E5">
          <wp:simplePos x="0" y="0"/>
          <wp:positionH relativeFrom="margin">
            <wp:posOffset>52705</wp:posOffset>
          </wp:positionH>
          <wp:positionV relativeFrom="margin">
            <wp:posOffset>-1504950</wp:posOffset>
          </wp:positionV>
          <wp:extent cx="925830" cy="1334770"/>
          <wp:effectExtent l="0" t="0" r="7620" b="0"/>
          <wp:wrapSquare wrapText="bothSides"/>
          <wp:docPr id="13568159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133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89E" w:rsidRPr="00067C3C">
      <w:rPr>
        <w:rFonts w:ascii="Arial" w:hAnsi="Arial" w:cs="Arial"/>
        <w:b/>
        <w:sz w:val="14"/>
        <w:szCs w:val="14"/>
      </w:rPr>
      <w:tab/>
    </w:r>
    <w:r w:rsidR="00CC689E" w:rsidRPr="00067C3C">
      <w:rPr>
        <w:rFonts w:ascii="Arial" w:hAnsi="Arial" w:cs="Arial"/>
        <w:b/>
        <w:sz w:val="14"/>
        <w:szCs w:val="14"/>
      </w:rPr>
      <w:tab/>
    </w:r>
    <w:r w:rsidR="00CC689E" w:rsidRPr="00067C3C">
      <w:rPr>
        <w:rFonts w:ascii="Arial" w:hAnsi="Arial"/>
        <w:b/>
        <w:sz w:val="14"/>
      </w:rPr>
      <w:t xml:space="preserve">International Press Office </w:t>
    </w:r>
    <w:r w:rsidR="00CC689E" w:rsidRPr="00067C3C">
      <w:rPr>
        <w:rFonts w:ascii="Arial" w:hAnsi="Arial"/>
        <w:b/>
        <w:sz w:val="14"/>
      </w:rPr>
      <w:tab/>
      <w:t>Investor Relations</w:t>
    </w:r>
  </w:p>
  <w:p w14:paraId="4552FE10" w14:textId="7BCF0C55" w:rsidR="00CC689E" w:rsidRPr="00067C3C" w:rsidRDefault="00CC689E" w:rsidP="00383656">
    <w:pPr>
      <w:pStyle w:val="Encabezado"/>
      <w:tabs>
        <w:tab w:val="left" w:pos="4678"/>
        <w:tab w:val="left" w:pos="7088"/>
      </w:tabs>
      <w:spacing w:line="200" w:lineRule="exact"/>
      <w:rPr>
        <w:rFonts w:ascii="Arial" w:hAnsi="Arial"/>
        <w:b/>
        <w:sz w:val="14"/>
      </w:rPr>
    </w:pPr>
    <w:r w:rsidRPr="00067C3C">
      <w:rPr>
        <w:rFonts w:ascii="Arial" w:hAnsi="Arial"/>
        <w:sz w:val="14"/>
      </w:rPr>
      <w:tab/>
    </w:r>
    <w:r w:rsidRPr="00067C3C">
      <w:rPr>
        <w:rFonts w:ascii="Arial" w:hAnsi="Arial"/>
        <w:sz w:val="14"/>
      </w:rPr>
      <w:tab/>
    </w:r>
    <w:r w:rsidRPr="00067C3C">
      <w:rPr>
        <w:rFonts w:ascii="Arial" w:hAnsi="Arial"/>
        <w:sz w:val="14"/>
      </w:rPr>
      <w:tab/>
    </w:r>
  </w:p>
  <w:p w14:paraId="1BE972B2" w14:textId="5D51439F" w:rsidR="00CC689E" w:rsidRPr="00067C3C" w:rsidRDefault="00CC689E" w:rsidP="00383656">
    <w:pPr>
      <w:pStyle w:val="Encabezado"/>
      <w:tabs>
        <w:tab w:val="left" w:pos="4678"/>
        <w:tab w:val="left" w:pos="7088"/>
      </w:tabs>
      <w:spacing w:line="40" w:lineRule="exact"/>
      <w:ind w:left="5387" w:firstLine="709"/>
      <w:rPr>
        <w:rFonts w:ascii="Arial" w:hAnsi="Arial"/>
        <w:b/>
        <w:sz w:val="14"/>
      </w:rPr>
    </w:pPr>
  </w:p>
  <w:p w14:paraId="65E1EA0F" w14:textId="2CB9322D" w:rsidR="00CC689E" w:rsidRPr="00067C3C" w:rsidRDefault="00CC689E" w:rsidP="00847380">
    <w:pPr>
      <w:pStyle w:val="Encabezado"/>
      <w:tabs>
        <w:tab w:val="clear" w:pos="4252"/>
        <w:tab w:val="left" w:pos="7088"/>
      </w:tabs>
      <w:spacing w:line="180" w:lineRule="exact"/>
      <w:ind w:left="4678"/>
      <w:rPr>
        <w:rFonts w:ascii="Arial" w:hAnsi="Arial"/>
        <w:sz w:val="14"/>
      </w:rPr>
    </w:pPr>
  </w:p>
  <w:p w14:paraId="26DD21A9" w14:textId="5A8CB00A" w:rsidR="00CC689E" w:rsidRPr="00067C3C" w:rsidRDefault="00CC689E" w:rsidP="00847380">
    <w:pPr>
      <w:pStyle w:val="Encabezado"/>
      <w:tabs>
        <w:tab w:val="clear" w:pos="4252"/>
        <w:tab w:val="left" w:pos="7088"/>
      </w:tabs>
      <w:spacing w:line="180" w:lineRule="exact"/>
      <w:ind w:left="4678"/>
      <w:rPr>
        <w:rFonts w:ascii="Arial" w:hAnsi="Arial"/>
        <w:sz w:val="14"/>
      </w:rPr>
    </w:pPr>
    <w:r w:rsidRPr="00067C3C">
      <w:rPr>
        <w:rFonts w:ascii="Arial" w:hAnsi="Arial"/>
        <w:sz w:val="14"/>
      </w:rPr>
      <w:t>T +39 06 8305 5699</w:t>
    </w:r>
    <w:r w:rsidRPr="00067C3C">
      <w:rPr>
        <w:rFonts w:ascii="Arial" w:hAnsi="Arial"/>
        <w:sz w:val="14"/>
      </w:rPr>
      <w:tab/>
      <w:t>T +39 06 8305 7975</w:t>
    </w:r>
  </w:p>
  <w:p w14:paraId="0C610C91" w14:textId="2C6D309B" w:rsidR="00CC689E" w:rsidRPr="00067C3C" w:rsidRDefault="00CC689E" w:rsidP="00847380">
    <w:pPr>
      <w:pStyle w:val="Encabezado"/>
      <w:tabs>
        <w:tab w:val="clear" w:pos="4252"/>
        <w:tab w:val="left" w:pos="7088"/>
      </w:tabs>
      <w:spacing w:line="180" w:lineRule="exact"/>
      <w:ind w:left="4678"/>
      <w:rPr>
        <w:rFonts w:ascii="Arial" w:hAnsi="Arial"/>
        <w:sz w:val="14"/>
      </w:rPr>
    </w:pPr>
    <w:r w:rsidRPr="00067C3C">
      <w:rPr>
        <w:rFonts w:ascii="Arial" w:hAnsi="Arial"/>
        <w:sz w:val="14"/>
      </w:rPr>
      <w:t>ufficiostampa@enel.com</w:t>
    </w:r>
    <w:r w:rsidRPr="00067C3C">
      <w:rPr>
        <w:rFonts w:ascii="Arial" w:hAnsi="Arial"/>
        <w:sz w:val="14"/>
      </w:rPr>
      <w:tab/>
      <w:t>investor.relations@enel.com</w:t>
    </w:r>
  </w:p>
  <w:p w14:paraId="022BC4B0" w14:textId="7E76BE13" w:rsidR="00CC689E" w:rsidRPr="00067C3C" w:rsidRDefault="00CC689E" w:rsidP="00383656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/>
        <w:sz w:val="14"/>
      </w:rPr>
    </w:pPr>
    <w:r w:rsidRPr="00067C3C">
      <w:rPr>
        <w:rFonts w:ascii="Arial" w:hAnsi="Arial"/>
        <w:sz w:val="14"/>
      </w:rPr>
      <w:t>gnm@enel.com</w:t>
    </w:r>
    <w:r w:rsidRPr="00067C3C">
      <w:rPr>
        <w:rFonts w:ascii="Arial" w:hAnsi="Arial"/>
        <w:sz w:val="14"/>
      </w:rPr>
      <w:tab/>
    </w:r>
  </w:p>
  <w:p w14:paraId="64253547" w14:textId="7C0816E7" w:rsidR="00CC689E" w:rsidRPr="00067C3C" w:rsidRDefault="00CC689E" w:rsidP="00383656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/>
        <w:sz w:val="14"/>
      </w:rPr>
    </w:pPr>
    <w:r w:rsidRPr="00067C3C">
      <w:rPr>
        <w:rFonts w:ascii="Arial" w:hAnsi="Arial"/>
        <w:b/>
        <w:sz w:val="14"/>
      </w:rPr>
      <w:t>enel.com</w:t>
    </w:r>
    <w:r w:rsidRPr="00067C3C">
      <w:rPr>
        <w:rFonts w:ascii="Arial" w:hAnsi="Arial"/>
        <w:sz w:val="14"/>
      </w:rPr>
      <w:tab/>
    </w:r>
    <w:r w:rsidRPr="00067C3C">
      <w:rPr>
        <w:rFonts w:ascii="Arial" w:hAnsi="Arial"/>
        <w:b/>
        <w:sz w:val="14"/>
      </w:rPr>
      <w:t>enel.com</w:t>
    </w:r>
  </w:p>
  <w:p w14:paraId="0279DE7C" w14:textId="067BAB31" w:rsidR="00CC689E" w:rsidRPr="00067C3C" w:rsidRDefault="00CC689E" w:rsidP="00383656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/>
        <w:sz w:val="14"/>
      </w:rPr>
    </w:pPr>
  </w:p>
  <w:p w14:paraId="1858DE91" w14:textId="77777777" w:rsidR="00CC689E" w:rsidRPr="00067C3C" w:rsidRDefault="00CC689E" w:rsidP="00383656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/>
        <w:sz w:val="14"/>
      </w:rPr>
    </w:pPr>
    <w:r w:rsidRPr="00067C3C">
      <w:rPr>
        <w:rFonts w:ascii="Arial" w:hAnsi="Arial"/>
        <w:sz w:val="14"/>
      </w:rPr>
      <w:tab/>
      <w:t xml:space="preserve"> </w:t>
    </w:r>
  </w:p>
  <w:p w14:paraId="245F17E7" w14:textId="2186913D" w:rsidR="00CC689E" w:rsidRPr="00067C3C" w:rsidRDefault="00CC689E" w:rsidP="00383656">
    <w:pPr>
      <w:pStyle w:val="Encabezado"/>
      <w:tabs>
        <w:tab w:val="clear" w:pos="4252"/>
        <w:tab w:val="left" w:pos="4678"/>
        <w:tab w:val="center" w:pos="7230"/>
      </w:tabs>
      <w:spacing w:line="180" w:lineRule="exact"/>
      <w:ind w:left="3544"/>
      <w:rPr>
        <w:rFonts w:ascii="Arial" w:hAnsi="Arial"/>
        <w:sz w:val="14"/>
      </w:rPr>
    </w:pPr>
    <w:r w:rsidRPr="00067C3C">
      <w:rPr>
        <w:rFonts w:ascii="Arial" w:hAnsi="Arial"/>
        <w:sz w:val="14"/>
      </w:rPr>
      <w:t xml:space="preserve"> </w:t>
    </w:r>
  </w:p>
  <w:p w14:paraId="6F24BE60" w14:textId="4B624CF9" w:rsidR="00CC689E" w:rsidRPr="00067C3C" w:rsidRDefault="00CC689E" w:rsidP="00383656">
    <w:pPr>
      <w:pStyle w:val="Encabezado"/>
      <w:tabs>
        <w:tab w:val="left" w:pos="4678"/>
      </w:tabs>
    </w:pPr>
  </w:p>
  <w:p w14:paraId="5FECDE34" w14:textId="315CC288" w:rsidR="007E2839" w:rsidRPr="00067C3C" w:rsidRDefault="007E28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83D"/>
    <w:multiLevelType w:val="multilevel"/>
    <w:tmpl w:val="5C4C4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E7A12"/>
    <w:multiLevelType w:val="hybridMultilevel"/>
    <w:tmpl w:val="C4A6B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60E5D"/>
    <w:multiLevelType w:val="hybridMultilevel"/>
    <w:tmpl w:val="6044A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65305"/>
    <w:multiLevelType w:val="hybridMultilevel"/>
    <w:tmpl w:val="66ECD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4E92"/>
    <w:multiLevelType w:val="hybridMultilevel"/>
    <w:tmpl w:val="1D1C28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41DE0"/>
    <w:multiLevelType w:val="hybridMultilevel"/>
    <w:tmpl w:val="C1101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A1328"/>
    <w:multiLevelType w:val="hybridMultilevel"/>
    <w:tmpl w:val="B652FC7C"/>
    <w:lvl w:ilvl="0" w:tplc="3CC812F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D1B2C"/>
    <w:multiLevelType w:val="hybridMultilevel"/>
    <w:tmpl w:val="3DB23E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666B0"/>
    <w:multiLevelType w:val="hybridMultilevel"/>
    <w:tmpl w:val="753E5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7B39"/>
    <w:multiLevelType w:val="hybridMultilevel"/>
    <w:tmpl w:val="088E7C42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EAB38EE"/>
    <w:multiLevelType w:val="multilevel"/>
    <w:tmpl w:val="A738A934"/>
    <w:lvl w:ilvl="0">
      <w:numFmt w:val="bullet"/>
      <w:lvlText w:val="§"/>
      <w:lvlJc w:val="left"/>
      <w:pPr>
        <w:tabs>
          <w:tab w:val="left" w:pos="504"/>
        </w:tabs>
      </w:pPr>
      <w:rPr>
        <w:rFonts w:ascii="Wingdings" w:eastAsia="Wingdings" w:hAnsi="Wingdings"/>
        <w:color w:val="000000"/>
        <w:spacing w:val="0"/>
        <w:w w:val="100"/>
        <w:sz w:val="3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4287C"/>
    <w:multiLevelType w:val="hybridMultilevel"/>
    <w:tmpl w:val="954A9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B4603"/>
    <w:multiLevelType w:val="hybridMultilevel"/>
    <w:tmpl w:val="9D34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F0983"/>
    <w:multiLevelType w:val="hybridMultilevel"/>
    <w:tmpl w:val="D4CAF176"/>
    <w:lvl w:ilvl="0" w:tplc="0410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  <w:color w:val="auto"/>
        <w:sz w:val="18"/>
        <w:szCs w:val="20"/>
      </w:rPr>
    </w:lvl>
    <w:lvl w:ilvl="1" w:tplc="0410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3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0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810" w:hanging="360"/>
      </w:pPr>
      <w:rPr>
        <w:rFonts w:ascii="Wingdings" w:hAnsi="Wingdings" w:hint="default"/>
      </w:rPr>
    </w:lvl>
  </w:abstractNum>
  <w:abstractNum w:abstractNumId="14" w15:restartNumberingAfterBreak="0">
    <w:nsid w:val="2DA02183"/>
    <w:multiLevelType w:val="hybridMultilevel"/>
    <w:tmpl w:val="A7AAA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B6CBD"/>
    <w:multiLevelType w:val="hybridMultilevel"/>
    <w:tmpl w:val="A694E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22ACC"/>
    <w:multiLevelType w:val="hybridMultilevel"/>
    <w:tmpl w:val="1866853E"/>
    <w:lvl w:ilvl="0" w:tplc="7FD80834">
      <w:numFmt w:val="bullet"/>
      <w:pStyle w:val="Bilanci-testorientri"/>
      <w:lvlText w:val="&gt;"/>
      <w:lvlJc w:val="left"/>
      <w:pPr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B5EA5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20CC9"/>
    <w:multiLevelType w:val="hybridMultilevel"/>
    <w:tmpl w:val="7C2E746A"/>
    <w:lvl w:ilvl="0" w:tplc="001C8E48">
      <w:start w:val="1"/>
      <w:numFmt w:val="bullet"/>
      <w:pStyle w:val="Bilanci-testorientri1"/>
      <w:lvlText w:val=""/>
      <w:lvlJc w:val="left"/>
      <w:pPr>
        <w:ind w:left="1077" w:hanging="360"/>
      </w:pPr>
      <w:rPr>
        <w:rFonts w:ascii="Symbol" w:hAnsi="Symbol" w:hint="default"/>
      </w:rPr>
    </w:lvl>
    <w:lvl w:ilvl="1" w:tplc="C324BFBA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1C471A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22288CC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6F9044F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AFACC4A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D992602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978500A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ECB0C96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DB2142C"/>
    <w:multiLevelType w:val="hybridMultilevel"/>
    <w:tmpl w:val="319A3C3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B84CD2"/>
    <w:multiLevelType w:val="hybridMultilevel"/>
    <w:tmpl w:val="43600D36"/>
    <w:lvl w:ilvl="0" w:tplc="041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FF006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6D2414"/>
    <w:multiLevelType w:val="hybridMultilevel"/>
    <w:tmpl w:val="1D3CD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A7AFD"/>
    <w:multiLevelType w:val="hybridMultilevel"/>
    <w:tmpl w:val="219E25B6"/>
    <w:lvl w:ilvl="0" w:tplc="0924E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11C3A"/>
    <w:multiLevelType w:val="hybridMultilevel"/>
    <w:tmpl w:val="EF3A03D6"/>
    <w:lvl w:ilvl="0" w:tplc="0924E75C">
      <w:start w:val="1"/>
      <w:numFmt w:val="bullet"/>
      <w:pStyle w:val="Revisin"/>
      <w:lvlText w:val=""/>
      <w:lvlJc w:val="left"/>
      <w:pPr>
        <w:ind w:left="720" w:hanging="360"/>
      </w:pPr>
      <w:rPr>
        <w:rFonts w:ascii="Symbol" w:hAnsi="Symbol" w:hint="default"/>
        <w:color w:val="FF0F64"/>
      </w:rPr>
    </w:lvl>
    <w:lvl w:ilvl="1" w:tplc="3CC812F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17789"/>
    <w:multiLevelType w:val="hybridMultilevel"/>
    <w:tmpl w:val="1DF6B046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57F63316"/>
    <w:multiLevelType w:val="hybridMultilevel"/>
    <w:tmpl w:val="6174FD8E"/>
    <w:lvl w:ilvl="0" w:tplc="DD3E1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6F88D56" w:tentative="1">
      <w:start w:val="1"/>
      <w:numFmt w:val="lowerLetter"/>
      <w:lvlText w:val="%2."/>
      <w:lvlJc w:val="left"/>
      <w:pPr>
        <w:ind w:left="1440" w:hanging="360"/>
      </w:pPr>
    </w:lvl>
    <w:lvl w:ilvl="2" w:tplc="848A40E8" w:tentative="1">
      <w:start w:val="1"/>
      <w:numFmt w:val="lowerRoman"/>
      <w:lvlText w:val="%3."/>
      <w:lvlJc w:val="right"/>
      <w:pPr>
        <w:ind w:left="2160" w:hanging="180"/>
      </w:pPr>
    </w:lvl>
    <w:lvl w:ilvl="3" w:tplc="996064E0" w:tentative="1">
      <w:start w:val="1"/>
      <w:numFmt w:val="decimal"/>
      <w:lvlText w:val="%4."/>
      <w:lvlJc w:val="left"/>
      <w:pPr>
        <w:ind w:left="2880" w:hanging="360"/>
      </w:pPr>
    </w:lvl>
    <w:lvl w:ilvl="4" w:tplc="7B6E9B62" w:tentative="1">
      <w:start w:val="1"/>
      <w:numFmt w:val="lowerLetter"/>
      <w:lvlText w:val="%5."/>
      <w:lvlJc w:val="left"/>
      <w:pPr>
        <w:ind w:left="3600" w:hanging="360"/>
      </w:pPr>
    </w:lvl>
    <w:lvl w:ilvl="5" w:tplc="64C2CABC" w:tentative="1">
      <w:start w:val="1"/>
      <w:numFmt w:val="lowerRoman"/>
      <w:lvlText w:val="%6."/>
      <w:lvlJc w:val="right"/>
      <w:pPr>
        <w:ind w:left="4320" w:hanging="180"/>
      </w:pPr>
    </w:lvl>
    <w:lvl w:ilvl="6" w:tplc="48E861CC" w:tentative="1">
      <w:start w:val="1"/>
      <w:numFmt w:val="decimal"/>
      <w:lvlText w:val="%7."/>
      <w:lvlJc w:val="left"/>
      <w:pPr>
        <w:ind w:left="5040" w:hanging="360"/>
      </w:pPr>
    </w:lvl>
    <w:lvl w:ilvl="7" w:tplc="580AF830" w:tentative="1">
      <w:start w:val="1"/>
      <w:numFmt w:val="lowerLetter"/>
      <w:lvlText w:val="%8."/>
      <w:lvlJc w:val="left"/>
      <w:pPr>
        <w:ind w:left="5760" w:hanging="360"/>
      </w:pPr>
    </w:lvl>
    <w:lvl w:ilvl="8" w:tplc="DA7C8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D0AE0"/>
    <w:multiLevelType w:val="hybridMultilevel"/>
    <w:tmpl w:val="9216E56E"/>
    <w:lvl w:ilvl="0" w:tplc="4FF83260">
      <w:start w:val="1"/>
      <w:numFmt w:val="decimal"/>
      <w:pStyle w:val="NumberedHeading4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7C0AF4"/>
    <w:multiLevelType w:val="hybridMultilevel"/>
    <w:tmpl w:val="D3D4EBD2"/>
    <w:lvl w:ilvl="0" w:tplc="EA928976">
      <w:start w:val="1"/>
      <w:numFmt w:val="bullet"/>
      <w:pStyle w:val="bullet"/>
      <w:lvlText w:val=""/>
      <w:lvlJc w:val="left"/>
      <w:pPr>
        <w:ind w:left="1077" w:hanging="360"/>
      </w:pPr>
      <w:rPr>
        <w:rFonts w:ascii="Symbol" w:hAnsi="Symbol" w:hint="default"/>
      </w:rPr>
    </w:lvl>
    <w:lvl w:ilvl="1" w:tplc="0A9C5022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86C0D848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5A443AA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B58BCC6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1748620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06422C2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B4048CAC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06E9A6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DF719F6"/>
    <w:multiLevelType w:val="hybridMultilevel"/>
    <w:tmpl w:val="2B7CA446"/>
    <w:lvl w:ilvl="0" w:tplc="2BD61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D5110"/>
    <w:multiLevelType w:val="hybridMultilevel"/>
    <w:tmpl w:val="1504B788"/>
    <w:lvl w:ilvl="0" w:tplc="3CC812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69DD"/>
    <w:multiLevelType w:val="hybridMultilevel"/>
    <w:tmpl w:val="EDB60770"/>
    <w:lvl w:ilvl="0" w:tplc="ED92BC8C">
      <w:numFmt w:val="bullet"/>
      <w:lvlText w:val="-"/>
      <w:lvlJc w:val="left"/>
      <w:pPr>
        <w:ind w:left="927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76B2E36"/>
    <w:multiLevelType w:val="hybridMultilevel"/>
    <w:tmpl w:val="789444E8"/>
    <w:lvl w:ilvl="0" w:tplc="0419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1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FF0066"/>
      </w:r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4CA0"/>
    <w:multiLevelType w:val="hybridMultilevel"/>
    <w:tmpl w:val="595C8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60EFF"/>
    <w:multiLevelType w:val="hybridMultilevel"/>
    <w:tmpl w:val="C6006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4256A"/>
    <w:multiLevelType w:val="hybridMultilevel"/>
    <w:tmpl w:val="52B68308"/>
    <w:lvl w:ilvl="0" w:tplc="6C14A3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lang w:val="en-US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B196C"/>
    <w:multiLevelType w:val="hybridMultilevel"/>
    <w:tmpl w:val="1A2A3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321E3"/>
    <w:multiLevelType w:val="hybridMultilevel"/>
    <w:tmpl w:val="57CE0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1044F"/>
    <w:multiLevelType w:val="hybridMultilevel"/>
    <w:tmpl w:val="AA7CEE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3300"/>
      </w:rPr>
    </w:lvl>
    <w:lvl w:ilvl="1" w:tplc="5B5427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FF0066"/>
        <w:lang w:val="x-none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0F1553"/>
    <w:multiLevelType w:val="hybridMultilevel"/>
    <w:tmpl w:val="796A764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CCB5147"/>
    <w:multiLevelType w:val="hybridMultilevel"/>
    <w:tmpl w:val="9412F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734172">
    <w:abstractNumId w:val="22"/>
  </w:num>
  <w:num w:numId="2" w16cid:durableId="1987662624">
    <w:abstractNumId w:val="26"/>
  </w:num>
  <w:num w:numId="3" w16cid:durableId="455485179">
    <w:abstractNumId w:val="21"/>
  </w:num>
  <w:num w:numId="4" w16cid:durableId="383263552">
    <w:abstractNumId w:val="13"/>
  </w:num>
  <w:num w:numId="5" w16cid:durableId="1535924717">
    <w:abstractNumId w:val="16"/>
  </w:num>
  <w:num w:numId="6" w16cid:durableId="1822193705">
    <w:abstractNumId w:val="25"/>
  </w:num>
  <w:num w:numId="7" w16cid:durableId="188379647">
    <w:abstractNumId w:val="17"/>
  </w:num>
  <w:num w:numId="8" w16cid:durableId="2136099807">
    <w:abstractNumId w:val="19"/>
  </w:num>
  <w:num w:numId="9" w16cid:durableId="1080757120">
    <w:abstractNumId w:val="36"/>
  </w:num>
  <w:num w:numId="10" w16cid:durableId="1256552622">
    <w:abstractNumId w:val="28"/>
  </w:num>
  <w:num w:numId="11" w16cid:durableId="1014306017">
    <w:abstractNumId w:val="30"/>
  </w:num>
  <w:num w:numId="12" w16cid:durableId="1344815856">
    <w:abstractNumId w:val="6"/>
  </w:num>
  <w:num w:numId="13" w16cid:durableId="1293944670">
    <w:abstractNumId w:val="0"/>
  </w:num>
  <w:num w:numId="14" w16cid:durableId="955329668">
    <w:abstractNumId w:val="29"/>
  </w:num>
  <w:num w:numId="15" w16cid:durableId="1710372186">
    <w:abstractNumId w:val="4"/>
  </w:num>
  <w:num w:numId="16" w16cid:durableId="150483683">
    <w:abstractNumId w:val="33"/>
  </w:num>
  <w:num w:numId="17" w16cid:durableId="977609607">
    <w:abstractNumId w:val="22"/>
  </w:num>
  <w:num w:numId="18" w16cid:durableId="935017471">
    <w:abstractNumId w:val="24"/>
  </w:num>
  <w:num w:numId="19" w16cid:durableId="859508198">
    <w:abstractNumId w:val="22"/>
  </w:num>
  <w:num w:numId="20" w16cid:durableId="1760633826">
    <w:abstractNumId w:val="12"/>
  </w:num>
  <w:num w:numId="21" w16cid:durableId="284239907">
    <w:abstractNumId w:val="2"/>
  </w:num>
  <w:num w:numId="22" w16cid:durableId="14048362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9324918">
    <w:abstractNumId w:val="20"/>
  </w:num>
  <w:num w:numId="24" w16cid:durableId="725027965">
    <w:abstractNumId w:val="37"/>
  </w:num>
  <w:num w:numId="25" w16cid:durableId="972248298">
    <w:abstractNumId w:val="27"/>
  </w:num>
  <w:num w:numId="26" w16cid:durableId="1651320913">
    <w:abstractNumId w:val="1"/>
  </w:num>
  <w:num w:numId="27" w16cid:durableId="1519543235">
    <w:abstractNumId w:val="35"/>
  </w:num>
  <w:num w:numId="28" w16cid:durableId="28068829">
    <w:abstractNumId w:val="5"/>
  </w:num>
  <w:num w:numId="29" w16cid:durableId="614600394">
    <w:abstractNumId w:val="15"/>
  </w:num>
  <w:num w:numId="30" w16cid:durableId="512693511">
    <w:abstractNumId w:val="3"/>
  </w:num>
  <w:num w:numId="31" w16cid:durableId="1605961601">
    <w:abstractNumId w:val="34"/>
  </w:num>
  <w:num w:numId="32" w16cid:durableId="364449216">
    <w:abstractNumId w:val="18"/>
  </w:num>
  <w:num w:numId="33" w16cid:durableId="2122217727">
    <w:abstractNumId w:val="8"/>
  </w:num>
  <w:num w:numId="34" w16cid:durableId="265699428">
    <w:abstractNumId w:val="10"/>
  </w:num>
  <w:num w:numId="35" w16cid:durableId="1259411946">
    <w:abstractNumId w:val="31"/>
  </w:num>
  <w:num w:numId="36" w16cid:durableId="1945305230">
    <w:abstractNumId w:val="38"/>
  </w:num>
  <w:num w:numId="37" w16cid:durableId="141312471">
    <w:abstractNumId w:val="9"/>
  </w:num>
  <w:num w:numId="38" w16cid:durableId="898977170">
    <w:abstractNumId w:val="7"/>
  </w:num>
  <w:num w:numId="39" w16cid:durableId="106437780">
    <w:abstractNumId w:val="32"/>
  </w:num>
  <w:num w:numId="40" w16cid:durableId="944190408">
    <w:abstractNumId w:val="14"/>
  </w:num>
  <w:num w:numId="41" w16cid:durableId="249320391">
    <w:abstractNumId w:val="23"/>
  </w:num>
  <w:num w:numId="42" w16cid:durableId="131675904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hideSpellingErrors/>
  <w:hideGrammaticalErrors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B3"/>
    <w:rsid w:val="000001D2"/>
    <w:rsid w:val="00000C8E"/>
    <w:rsid w:val="00000E30"/>
    <w:rsid w:val="00000F7F"/>
    <w:rsid w:val="000019CD"/>
    <w:rsid w:val="00001F21"/>
    <w:rsid w:val="00001F6E"/>
    <w:rsid w:val="00002507"/>
    <w:rsid w:val="00003139"/>
    <w:rsid w:val="000032D1"/>
    <w:rsid w:val="0000378F"/>
    <w:rsid w:val="00003C7C"/>
    <w:rsid w:val="00003FD2"/>
    <w:rsid w:val="000042EC"/>
    <w:rsid w:val="0000460B"/>
    <w:rsid w:val="00004797"/>
    <w:rsid w:val="00004B92"/>
    <w:rsid w:val="00004E73"/>
    <w:rsid w:val="00004F0D"/>
    <w:rsid w:val="00004F90"/>
    <w:rsid w:val="00005112"/>
    <w:rsid w:val="00005B48"/>
    <w:rsid w:val="00005DCB"/>
    <w:rsid w:val="00006F96"/>
    <w:rsid w:val="00007208"/>
    <w:rsid w:val="000074E8"/>
    <w:rsid w:val="00007A5A"/>
    <w:rsid w:val="00007A5E"/>
    <w:rsid w:val="000101BB"/>
    <w:rsid w:val="000104EA"/>
    <w:rsid w:val="00010BB5"/>
    <w:rsid w:val="00010D1C"/>
    <w:rsid w:val="00010E75"/>
    <w:rsid w:val="000114DE"/>
    <w:rsid w:val="00011DB4"/>
    <w:rsid w:val="000122D0"/>
    <w:rsid w:val="000125CE"/>
    <w:rsid w:val="00013E27"/>
    <w:rsid w:val="000146CE"/>
    <w:rsid w:val="00014B35"/>
    <w:rsid w:val="00014BFF"/>
    <w:rsid w:val="00014D2C"/>
    <w:rsid w:val="00014E75"/>
    <w:rsid w:val="00014EF5"/>
    <w:rsid w:val="00015112"/>
    <w:rsid w:val="00015D58"/>
    <w:rsid w:val="000164E7"/>
    <w:rsid w:val="000166D2"/>
    <w:rsid w:val="00016755"/>
    <w:rsid w:val="000167E1"/>
    <w:rsid w:val="00016895"/>
    <w:rsid w:val="000174A2"/>
    <w:rsid w:val="00017C7E"/>
    <w:rsid w:val="00017F3A"/>
    <w:rsid w:val="0002016D"/>
    <w:rsid w:val="000207D7"/>
    <w:rsid w:val="00020E45"/>
    <w:rsid w:val="00021189"/>
    <w:rsid w:val="000212AB"/>
    <w:rsid w:val="000213FE"/>
    <w:rsid w:val="000215C3"/>
    <w:rsid w:val="0002163E"/>
    <w:rsid w:val="00021B2C"/>
    <w:rsid w:val="00021D27"/>
    <w:rsid w:val="0002292D"/>
    <w:rsid w:val="00022AD0"/>
    <w:rsid w:val="00022B41"/>
    <w:rsid w:val="000233E9"/>
    <w:rsid w:val="0002395C"/>
    <w:rsid w:val="000239C9"/>
    <w:rsid w:val="00023A9F"/>
    <w:rsid w:val="0002412E"/>
    <w:rsid w:val="00024381"/>
    <w:rsid w:val="000246F0"/>
    <w:rsid w:val="0002487A"/>
    <w:rsid w:val="00024B64"/>
    <w:rsid w:val="00024B9E"/>
    <w:rsid w:val="00024D29"/>
    <w:rsid w:val="00024D30"/>
    <w:rsid w:val="00024F78"/>
    <w:rsid w:val="00025634"/>
    <w:rsid w:val="000258B1"/>
    <w:rsid w:val="00025E6A"/>
    <w:rsid w:val="000262E8"/>
    <w:rsid w:val="000263C8"/>
    <w:rsid w:val="00026A74"/>
    <w:rsid w:val="00026EDF"/>
    <w:rsid w:val="00026F07"/>
    <w:rsid w:val="000315B6"/>
    <w:rsid w:val="00032AD3"/>
    <w:rsid w:val="00032C9B"/>
    <w:rsid w:val="00033412"/>
    <w:rsid w:val="000334EC"/>
    <w:rsid w:val="000335C6"/>
    <w:rsid w:val="000335D1"/>
    <w:rsid w:val="000339C9"/>
    <w:rsid w:val="00033A0C"/>
    <w:rsid w:val="00033C69"/>
    <w:rsid w:val="00033DFB"/>
    <w:rsid w:val="000344E0"/>
    <w:rsid w:val="000346B9"/>
    <w:rsid w:val="0003534E"/>
    <w:rsid w:val="0003538B"/>
    <w:rsid w:val="00035FFF"/>
    <w:rsid w:val="0003672D"/>
    <w:rsid w:val="00036945"/>
    <w:rsid w:val="00036ADF"/>
    <w:rsid w:val="00037F2C"/>
    <w:rsid w:val="0004020E"/>
    <w:rsid w:val="0004050D"/>
    <w:rsid w:val="00040A99"/>
    <w:rsid w:val="00040C16"/>
    <w:rsid w:val="00040EB1"/>
    <w:rsid w:val="00040F61"/>
    <w:rsid w:val="00041121"/>
    <w:rsid w:val="000411C0"/>
    <w:rsid w:val="000413E0"/>
    <w:rsid w:val="0004247D"/>
    <w:rsid w:val="000426B3"/>
    <w:rsid w:val="00042757"/>
    <w:rsid w:val="00042CD0"/>
    <w:rsid w:val="00042FFC"/>
    <w:rsid w:val="00043725"/>
    <w:rsid w:val="000440FE"/>
    <w:rsid w:val="0004447D"/>
    <w:rsid w:val="00044828"/>
    <w:rsid w:val="0004515A"/>
    <w:rsid w:val="00046456"/>
    <w:rsid w:val="00046AD1"/>
    <w:rsid w:val="00047586"/>
    <w:rsid w:val="000475E2"/>
    <w:rsid w:val="00047CFC"/>
    <w:rsid w:val="00050580"/>
    <w:rsid w:val="00050593"/>
    <w:rsid w:val="000508A3"/>
    <w:rsid w:val="00050A55"/>
    <w:rsid w:val="00050C23"/>
    <w:rsid w:val="00050DE6"/>
    <w:rsid w:val="00050F9D"/>
    <w:rsid w:val="00050FF4"/>
    <w:rsid w:val="00051A9C"/>
    <w:rsid w:val="000521D9"/>
    <w:rsid w:val="00052A80"/>
    <w:rsid w:val="00052DEC"/>
    <w:rsid w:val="00053017"/>
    <w:rsid w:val="0005347D"/>
    <w:rsid w:val="000536CD"/>
    <w:rsid w:val="0005398C"/>
    <w:rsid w:val="00054D03"/>
    <w:rsid w:val="00054D05"/>
    <w:rsid w:val="00055911"/>
    <w:rsid w:val="00055CF9"/>
    <w:rsid w:val="00055E13"/>
    <w:rsid w:val="000560A6"/>
    <w:rsid w:val="000566F2"/>
    <w:rsid w:val="000568F6"/>
    <w:rsid w:val="00056AF8"/>
    <w:rsid w:val="00056D54"/>
    <w:rsid w:val="000572A7"/>
    <w:rsid w:val="00057316"/>
    <w:rsid w:val="000576E8"/>
    <w:rsid w:val="0005773E"/>
    <w:rsid w:val="00057B80"/>
    <w:rsid w:val="00057E2F"/>
    <w:rsid w:val="00057FEF"/>
    <w:rsid w:val="00060AA1"/>
    <w:rsid w:val="00060B5C"/>
    <w:rsid w:val="000615F1"/>
    <w:rsid w:val="00062454"/>
    <w:rsid w:val="00062586"/>
    <w:rsid w:val="0006353D"/>
    <w:rsid w:val="00063A67"/>
    <w:rsid w:val="0006506F"/>
    <w:rsid w:val="00065094"/>
    <w:rsid w:val="000652AC"/>
    <w:rsid w:val="0006591D"/>
    <w:rsid w:val="00065AC2"/>
    <w:rsid w:val="00065E18"/>
    <w:rsid w:val="00067861"/>
    <w:rsid w:val="00067C3C"/>
    <w:rsid w:val="00067FE6"/>
    <w:rsid w:val="00070ADD"/>
    <w:rsid w:val="000713DE"/>
    <w:rsid w:val="000715B6"/>
    <w:rsid w:val="00071D6A"/>
    <w:rsid w:val="00071D8C"/>
    <w:rsid w:val="00071F73"/>
    <w:rsid w:val="000723DD"/>
    <w:rsid w:val="000725C2"/>
    <w:rsid w:val="00072613"/>
    <w:rsid w:val="0007267E"/>
    <w:rsid w:val="000726D4"/>
    <w:rsid w:val="00072C4D"/>
    <w:rsid w:val="00072F8F"/>
    <w:rsid w:val="00072F91"/>
    <w:rsid w:val="00073025"/>
    <w:rsid w:val="000738C0"/>
    <w:rsid w:val="00073B35"/>
    <w:rsid w:val="000742A1"/>
    <w:rsid w:val="0007445A"/>
    <w:rsid w:val="00074753"/>
    <w:rsid w:val="00074EEF"/>
    <w:rsid w:val="0007516E"/>
    <w:rsid w:val="0007525E"/>
    <w:rsid w:val="00075BA1"/>
    <w:rsid w:val="000764D7"/>
    <w:rsid w:val="000765A7"/>
    <w:rsid w:val="000766F4"/>
    <w:rsid w:val="00076764"/>
    <w:rsid w:val="000767FF"/>
    <w:rsid w:val="00076BB6"/>
    <w:rsid w:val="00076E76"/>
    <w:rsid w:val="000773E5"/>
    <w:rsid w:val="00077743"/>
    <w:rsid w:val="00077CA8"/>
    <w:rsid w:val="00077D4C"/>
    <w:rsid w:val="0008020B"/>
    <w:rsid w:val="0008054F"/>
    <w:rsid w:val="0008071F"/>
    <w:rsid w:val="000810DC"/>
    <w:rsid w:val="000815B0"/>
    <w:rsid w:val="00083546"/>
    <w:rsid w:val="00083556"/>
    <w:rsid w:val="00083C60"/>
    <w:rsid w:val="00085440"/>
    <w:rsid w:val="000857C5"/>
    <w:rsid w:val="00085999"/>
    <w:rsid w:val="00085C7D"/>
    <w:rsid w:val="00085F38"/>
    <w:rsid w:val="00085F89"/>
    <w:rsid w:val="00086CCC"/>
    <w:rsid w:val="000872E5"/>
    <w:rsid w:val="00087445"/>
    <w:rsid w:val="00087631"/>
    <w:rsid w:val="0008785E"/>
    <w:rsid w:val="00090D61"/>
    <w:rsid w:val="00090DC4"/>
    <w:rsid w:val="00091365"/>
    <w:rsid w:val="00091756"/>
    <w:rsid w:val="00091765"/>
    <w:rsid w:val="0009224A"/>
    <w:rsid w:val="000922D1"/>
    <w:rsid w:val="000923B1"/>
    <w:rsid w:val="00092C1F"/>
    <w:rsid w:val="00093179"/>
    <w:rsid w:val="00093682"/>
    <w:rsid w:val="00094031"/>
    <w:rsid w:val="00094088"/>
    <w:rsid w:val="000946FD"/>
    <w:rsid w:val="00094C58"/>
    <w:rsid w:val="00094EE9"/>
    <w:rsid w:val="0009514D"/>
    <w:rsid w:val="00095201"/>
    <w:rsid w:val="000954BE"/>
    <w:rsid w:val="00095C39"/>
    <w:rsid w:val="00095FC3"/>
    <w:rsid w:val="00096E7A"/>
    <w:rsid w:val="000977A1"/>
    <w:rsid w:val="0009780F"/>
    <w:rsid w:val="00097A4A"/>
    <w:rsid w:val="00097A60"/>
    <w:rsid w:val="00097CA4"/>
    <w:rsid w:val="000A023D"/>
    <w:rsid w:val="000A0FDB"/>
    <w:rsid w:val="000A1533"/>
    <w:rsid w:val="000A1AF1"/>
    <w:rsid w:val="000A20F7"/>
    <w:rsid w:val="000A2A2F"/>
    <w:rsid w:val="000A33B4"/>
    <w:rsid w:val="000A355C"/>
    <w:rsid w:val="000A37DA"/>
    <w:rsid w:val="000A46E7"/>
    <w:rsid w:val="000A4967"/>
    <w:rsid w:val="000A4D38"/>
    <w:rsid w:val="000A4E5F"/>
    <w:rsid w:val="000A5148"/>
    <w:rsid w:val="000A59F3"/>
    <w:rsid w:val="000A5C5B"/>
    <w:rsid w:val="000A5D1C"/>
    <w:rsid w:val="000A5F8E"/>
    <w:rsid w:val="000A63DB"/>
    <w:rsid w:val="000A66E2"/>
    <w:rsid w:val="000A68F3"/>
    <w:rsid w:val="000A6B3C"/>
    <w:rsid w:val="000A6CA3"/>
    <w:rsid w:val="000A72A8"/>
    <w:rsid w:val="000B047C"/>
    <w:rsid w:val="000B0602"/>
    <w:rsid w:val="000B0957"/>
    <w:rsid w:val="000B0C5F"/>
    <w:rsid w:val="000B0D7E"/>
    <w:rsid w:val="000B0F10"/>
    <w:rsid w:val="000B0F50"/>
    <w:rsid w:val="000B119E"/>
    <w:rsid w:val="000B1560"/>
    <w:rsid w:val="000B1709"/>
    <w:rsid w:val="000B1DAB"/>
    <w:rsid w:val="000B1F2A"/>
    <w:rsid w:val="000B203C"/>
    <w:rsid w:val="000B24C0"/>
    <w:rsid w:val="000B24E5"/>
    <w:rsid w:val="000B2636"/>
    <w:rsid w:val="000B29F1"/>
    <w:rsid w:val="000B2F70"/>
    <w:rsid w:val="000B32C3"/>
    <w:rsid w:val="000B36A4"/>
    <w:rsid w:val="000B3D39"/>
    <w:rsid w:val="000B4171"/>
    <w:rsid w:val="000B498B"/>
    <w:rsid w:val="000B49E7"/>
    <w:rsid w:val="000B52C0"/>
    <w:rsid w:val="000B540A"/>
    <w:rsid w:val="000B56AF"/>
    <w:rsid w:val="000B56FD"/>
    <w:rsid w:val="000B599F"/>
    <w:rsid w:val="000B5DEA"/>
    <w:rsid w:val="000B6C1F"/>
    <w:rsid w:val="000B6E25"/>
    <w:rsid w:val="000B705A"/>
    <w:rsid w:val="000B79E1"/>
    <w:rsid w:val="000B7A07"/>
    <w:rsid w:val="000B7FC4"/>
    <w:rsid w:val="000C000E"/>
    <w:rsid w:val="000C0B49"/>
    <w:rsid w:val="000C0D32"/>
    <w:rsid w:val="000C0F40"/>
    <w:rsid w:val="000C19B5"/>
    <w:rsid w:val="000C1F87"/>
    <w:rsid w:val="000C21DB"/>
    <w:rsid w:val="000C2FF2"/>
    <w:rsid w:val="000C342A"/>
    <w:rsid w:val="000C34C4"/>
    <w:rsid w:val="000C3F36"/>
    <w:rsid w:val="000C4761"/>
    <w:rsid w:val="000C4FA3"/>
    <w:rsid w:val="000C636D"/>
    <w:rsid w:val="000C730D"/>
    <w:rsid w:val="000C7453"/>
    <w:rsid w:val="000C7543"/>
    <w:rsid w:val="000C7EC5"/>
    <w:rsid w:val="000D00D8"/>
    <w:rsid w:val="000D0595"/>
    <w:rsid w:val="000D05ED"/>
    <w:rsid w:val="000D2092"/>
    <w:rsid w:val="000D2699"/>
    <w:rsid w:val="000D3065"/>
    <w:rsid w:val="000D3718"/>
    <w:rsid w:val="000D3878"/>
    <w:rsid w:val="000D3AF6"/>
    <w:rsid w:val="000D40BE"/>
    <w:rsid w:val="000D41BD"/>
    <w:rsid w:val="000D4505"/>
    <w:rsid w:val="000D48E1"/>
    <w:rsid w:val="000D5BCF"/>
    <w:rsid w:val="000D68B7"/>
    <w:rsid w:val="000D69EB"/>
    <w:rsid w:val="000D7BE7"/>
    <w:rsid w:val="000E0560"/>
    <w:rsid w:val="000E06B2"/>
    <w:rsid w:val="000E0C27"/>
    <w:rsid w:val="000E13A4"/>
    <w:rsid w:val="000E15DB"/>
    <w:rsid w:val="000E1A59"/>
    <w:rsid w:val="000E1E90"/>
    <w:rsid w:val="000E21E5"/>
    <w:rsid w:val="000E2428"/>
    <w:rsid w:val="000E2C15"/>
    <w:rsid w:val="000E2CF6"/>
    <w:rsid w:val="000E4443"/>
    <w:rsid w:val="000E45EC"/>
    <w:rsid w:val="000E480C"/>
    <w:rsid w:val="000E5346"/>
    <w:rsid w:val="000E5493"/>
    <w:rsid w:val="000E56B8"/>
    <w:rsid w:val="000E572A"/>
    <w:rsid w:val="000E5DD3"/>
    <w:rsid w:val="000E659D"/>
    <w:rsid w:val="000E681B"/>
    <w:rsid w:val="000E7173"/>
    <w:rsid w:val="000E7287"/>
    <w:rsid w:val="000E75BD"/>
    <w:rsid w:val="000E7A6D"/>
    <w:rsid w:val="000F08E8"/>
    <w:rsid w:val="000F1739"/>
    <w:rsid w:val="000F1935"/>
    <w:rsid w:val="000F1A6D"/>
    <w:rsid w:val="000F231C"/>
    <w:rsid w:val="000F248F"/>
    <w:rsid w:val="000F3C93"/>
    <w:rsid w:val="000F410F"/>
    <w:rsid w:val="000F43FE"/>
    <w:rsid w:val="000F449F"/>
    <w:rsid w:val="000F4727"/>
    <w:rsid w:val="000F499F"/>
    <w:rsid w:val="000F49F2"/>
    <w:rsid w:val="000F4A5F"/>
    <w:rsid w:val="000F4C8C"/>
    <w:rsid w:val="000F502D"/>
    <w:rsid w:val="000F548E"/>
    <w:rsid w:val="000F5D3B"/>
    <w:rsid w:val="000F5FEA"/>
    <w:rsid w:val="000F6E6D"/>
    <w:rsid w:val="001000F3"/>
    <w:rsid w:val="0010013C"/>
    <w:rsid w:val="0010027B"/>
    <w:rsid w:val="00100461"/>
    <w:rsid w:val="00101979"/>
    <w:rsid w:val="00102D00"/>
    <w:rsid w:val="0010302D"/>
    <w:rsid w:val="00103084"/>
    <w:rsid w:val="00103628"/>
    <w:rsid w:val="0010399A"/>
    <w:rsid w:val="001039EC"/>
    <w:rsid w:val="00103FBB"/>
    <w:rsid w:val="0010440C"/>
    <w:rsid w:val="0010478E"/>
    <w:rsid w:val="00104934"/>
    <w:rsid w:val="001059A8"/>
    <w:rsid w:val="00105D68"/>
    <w:rsid w:val="00105F54"/>
    <w:rsid w:val="00106079"/>
    <w:rsid w:val="001063D4"/>
    <w:rsid w:val="00106D8A"/>
    <w:rsid w:val="00106E98"/>
    <w:rsid w:val="00106EB9"/>
    <w:rsid w:val="00106F82"/>
    <w:rsid w:val="00107DC2"/>
    <w:rsid w:val="0011006F"/>
    <w:rsid w:val="001101A6"/>
    <w:rsid w:val="00110265"/>
    <w:rsid w:val="001106C3"/>
    <w:rsid w:val="00110AA0"/>
    <w:rsid w:val="00110AE2"/>
    <w:rsid w:val="00111585"/>
    <w:rsid w:val="00111697"/>
    <w:rsid w:val="00111762"/>
    <w:rsid w:val="001124BB"/>
    <w:rsid w:val="00112827"/>
    <w:rsid w:val="00112963"/>
    <w:rsid w:val="00112D6A"/>
    <w:rsid w:val="0011348D"/>
    <w:rsid w:val="001137FB"/>
    <w:rsid w:val="00113E8C"/>
    <w:rsid w:val="00113F77"/>
    <w:rsid w:val="00114003"/>
    <w:rsid w:val="001143D3"/>
    <w:rsid w:val="001145E7"/>
    <w:rsid w:val="001146A5"/>
    <w:rsid w:val="001154D9"/>
    <w:rsid w:val="00115881"/>
    <w:rsid w:val="00115B3E"/>
    <w:rsid w:val="00115D0B"/>
    <w:rsid w:val="00116246"/>
    <w:rsid w:val="001170B6"/>
    <w:rsid w:val="00117C80"/>
    <w:rsid w:val="00117D57"/>
    <w:rsid w:val="0012036A"/>
    <w:rsid w:val="00120472"/>
    <w:rsid w:val="00120763"/>
    <w:rsid w:val="00120EDC"/>
    <w:rsid w:val="00121518"/>
    <w:rsid w:val="001217EE"/>
    <w:rsid w:val="0012196A"/>
    <w:rsid w:val="00121AEF"/>
    <w:rsid w:val="00121D4B"/>
    <w:rsid w:val="00121D58"/>
    <w:rsid w:val="00121F09"/>
    <w:rsid w:val="00122065"/>
    <w:rsid w:val="00122098"/>
    <w:rsid w:val="001222BA"/>
    <w:rsid w:val="00122E47"/>
    <w:rsid w:val="00122E8A"/>
    <w:rsid w:val="0012382F"/>
    <w:rsid w:val="00123870"/>
    <w:rsid w:val="00123CDB"/>
    <w:rsid w:val="00123DC6"/>
    <w:rsid w:val="00124091"/>
    <w:rsid w:val="0012410A"/>
    <w:rsid w:val="001241C1"/>
    <w:rsid w:val="001245FD"/>
    <w:rsid w:val="0012460C"/>
    <w:rsid w:val="00124644"/>
    <w:rsid w:val="00124670"/>
    <w:rsid w:val="00125A0E"/>
    <w:rsid w:val="001265F9"/>
    <w:rsid w:val="00126709"/>
    <w:rsid w:val="00126872"/>
    <w:rsid w:val="00126CFB"/>
    <w:rsid w:val="00126ED8"/>
    <w:rsid w:val="00127234"/>
    <w:rsid w:val="00127AE3"/>
    <w:rsid w:val="00127F8F"/>
    <w:rsid w:val="001303E4"/>
    <w:rsid w:val="0013075D"/>
    <w:rsid w:val="00130C18"/>
    <w:rsid w:val="00130EAC"/>
    <w:rsid w:val="00131A16"/>
    <w:rsid w:val="00131A54"/>
    <w:rsid w:val="00131B0D"/>
    <w:rsid w:val="00131DF0"/>
    <w:rsid w:val="001320E3"/>
    <w:rsid w:val="001322EB"/>
    <w:rsid w:val="0013247C"/>
    <w:rsid w:val="00132C7A"/>
    <w:rsid w:val="00132F79"/>
    <w:rsid w:val="0013339B"/>
    <w:rsid w:val="0013349D"/>
    <w:rsid w:val="00133A30"/>
    <w:rsid w:val="001344C7"/>
    <w:rsid w:val="00134D0E"/>
    <w:rsid w:val="00134D75"/>
    <w:rsid w:val="00134F75"/>
    <w:rsid w:val="00135317"/>
    <w:rsid w:val="00135370"/>
    <w:rsid w:val="00135410"/>
    <w:rsid w:val="001363F4"/>
    <w:rsid w:val="0013664C"/>
    <w:rsid w:val="00136B44"/>
    <w:rsid w:val="00136B67"/>
    <w:rsid w:val="00136C36"/>
    <w:rsid w:val="00136CEB"/>
    <w:rsid w:val="00136E99"/>
    <w:rsid w:val="00136F51"/>
    <w:rsid w:val="00137689"/>
    <w:rsid w:val="00137838"/>
    <w:rsid w:val="00137CE7"/>
    <w:rsid w:val="00140234"/>
    <w:rsid w:val="001405BB"/>
    <w:rsid w:val="00140736"/>
    <w:rsid w:val="00141C60"/>
    <w:rsid w:val="00141F3E"/>
    <w:rsid w:val="00142194"/>
    <w:rsid w:val="001424A4"/>
    <w:rsid w:val="001428AF"/>
    <w:rsid w:val="00142979"/>
    <w:rsid w:val="00142D4A"/>
    <w:rsid w:val="001432A1"/>
    <w:rsid w:val="001432C9"/>
    <w:rsid w:val="001433ED"/>
    <w:rsid w:val="0014370C"/>
    <w:rsid w:val="00143BAA"/>
    <w:rsid w:val="00143E94"/>
    <w:rsid w:val="0014419E"/>
    <w:rsid w:val="00144C79"/>
    <w:rsid w:val="0014557E"/>
    <w:rsid w:val="001459C9"/>
    <w:rsid w:val="0014683F"/>
    <w:rsid w:val="00146AD7"/>
    <w:rsid w:val="00146E1C"/>
    <w:rsid w:val="00147844"/>
    <w:rsid w:val="001479F5"/>
    <w:rsid w:val="00147DAF"/>
    <w:rsid w:val="001500B0"/>
    <w:rsid w:val="001504AC"/>
    <w:rsid w:val="00150583"/>
    <w:rsid w:val="00150675"/>
    <w:rsid w:val="00150887"/>
    <w:rsid w:val="00150C8A"/>
    <w:rsid w:val="00150D59"/>
    <w:rsid w:val="00151126"/>
    <w:rsid w:val="00151129"/>
    <w:rsid w:val="001512E4"/>
    <w:rsid w:val="00151787"/>
    <w:rsid w:val="00152097"/>
    <w:rsid w:val="0015273D"/>
    <w:rsid w:val="00152B7A"/>
    <w:rsid w:val="00153C87"/>
    <w:rsid w:val="00153EE9"/>
    <w:rsid w:val="001548EB"/>
    <w:rsid w:val="00154970"/>
    <w:rsid w:val="00154ADC"/>
    <w:rsid w:val="00155025"/>
    <w:rsid w:val="001555EF"/>
    <w:rsid w:val="00155871"/>
    <w:rsid w:val="00155A3F"/>
    <w:rsid w:val="00155A94"/>
    <w:rsid w:val="00155B8D"/>
    <w:rsid w:val="00155C1B"/>
    <w:rsid w:val="00155C76"/>
    <w:rsid w:val="001564D3"/>
    <w:rsid w:val="00156A51"/>
    <w:rsid w:val="00157575"/>
    <w:rsid w:val="00157BD2"/>
    <w:rsid w:val="00160467"/>
    <w:rsid w:val="00160F95"/>
    <w:rsid w:val="00161008"/>
    <w:rsid w:val="00161DA8"/>
    <w:rsid w:val="00161DEC"/>
    <w:rsid w:val="00161E07"/>
    <w:rsid w:val="00161F6A"/>
    <w:rsid w:val="001626BE"/>
    <w:rsid w:val="00162FB5"/>
    <w:rsid w:val="001637C1"/>
    <w:rsid w:val="00163A0D"/>
    <w:rsid w:val="00163BCA"/>
    <w:rsid w:val="00163FAE"/>
    <w:rsid w:val="00164C2E"/>
    <w:rsid w:val="00164C80"/>
    <w:rsid w:val="00164C8B"/>
    <w:rsid w:val="00164EEA"/>
    <w:rsid w:val="00165267"/>
    <w:rsid w:val="0016591D"/>
    <w:rsid w:val="00165CE1"/>
    <w:rsid w:val="00166232"/>
    <w:rsid w:val="001662B2"/>
    <w:rsid w:val="00166D5E"/>
    <w:rsid w:val="00166F8D"/>
    <w:rsid w:val="0016727C"/>
    <w:rsid w:val="00167372"/>
    <w:rsid w:val="00167A59"/>
    <w:rsid w:val="00167BB4"/>
    <w:rsid w:val="001702E3"/>
    <w:rsid w:val="001702F3"/>
    <w:rsid w:val="0017033C"/>
    <w:rsid w:val="00170373"/>
    <w:rsid w:val="001704E2"/>
    <w:rsid w:val="00170B57"/>
    <w:rsid w:val="00171A01"/>
    <w:rsid w:val="0017201A"/>
    <w:rsid w:val="001729C2"/>
    <w:rsid w:val="00172ACE"/>
    <w:rsid w:val="00172F93"/>
    <w:rsid w:val="0017306C"/>
    <w:rsid w:val="001734B4"/>
    <w:rsid w:val="001736B7"/>
    <w:rsid w:val="00173C96"/>
    <w:rsid w:val="00174207"/>
    <w:rsid w:val="0017486E"/>
    <w:rsid w:val="00174E2F"/>
    <w:rsid w:val="00174E3D"/>
    <w:rsid w:val="00175D4C"/>
    <w:rsid w:val="00175FF1"/>
    <w:rsid w:val="001765E9"/>
    <w:rsid w:val="00176B41"/>
    <w:rsid w:val="00176B46"/>
    <w:rsid w:val="00177013"/>
    <w:rsid w:val="0017760D"/>
    <w:rsid w:val="00177AF4"/>
    <w:rsid w:val="0018064E"/>
    <w:rsid w:val="00180BCB"/>
    <w:rsid w:val="001811F2"/>
    <w:rsid w:val="00181636"/>
    <w:rsid w:val="00181713"/>
    <w:rsid w:val="00181E37"/>
    <w:rsid w:val="00181E6B"/>
    <w:rsid w:val="001821C6"/>
    <w:rsid w:val="0018229F"/>
    <w:rsid w:val="00182622"/>
    <w:rsid w:val="00182EEF"/>
    <w:rsid w:val="0018332D"/>
    <w:rsid w:val="001833E3"/>
    <w:rsid w:val="0018367B"/>
    <w:rsid w:val="00183C36"/>
    <w:rsid w:val="0018425C"/>
    <w:rsid w:val="00184587"/>
    <w:rsid w:val="00184A20"/>
    <w:rsid w:val="00184ABC"/>
    <w:rsid w:val="001852F8"/>
    <w:rsid w:val="001857A0"/>
    <w:rsid w:val="0018585D"/>
    <w:rsid w:val="001865B4"/>
    <w:rsid w:val="00186A26"/>
    <w:rsid w:val="00186CBB"/>
    <w:rsid w:val="001871F5"/>
    <w:rsid w:val="00187A77"/>
    <w:rsid w:val="001907F7"/>
    <w:rsid w:val="00190D9C"/>
    <w:rsid w:val="00190E5B"/>
    <w:rsid w:val="00190EE6"/>
    <w:rsid w:val="00191001"/>
    <w:rsid w:val="001918CF"/>
    <w:rsid w:val="0019231A"/>
    <w:rsid w:val="00192665"/>
    <w:rsid w:val="0019279C"/>
    <w:rsid w:val="001927F4"/>
    <w:rsid w:val="001929EB"/>
    <w:rsid w:val="00193058"/>
    <w:rsid w:val="001930A6"/>
    <w:rsid w:val="00193473"/>
    <w:rsid w:val="00193741"/>
    <w:rsid w:val="00193854"/>
    <w:rsid w:val="00193B19"/>
    <w:rsid w:val="0019463C"/>
    <w:rsid w:val="00194EF1"/>
    <w:rsid w:val="00194F1C"/>
    <w:rsid w:val="001950A1"/>
    <w:rsid w:val="001952B3"/>
    <w:rsid w:val="001957A3"/>
    <w:rsid w:val="0019589C"/>
    <w:rsid w:val="00195B73"/>
    <w:rsid w:val="00195C32"/>
    <w:rsid w:val="001963D4"/>
    <w:rsid w:val="001967FF"/>
    <w:rsid w:val="0019688D"/>
    <w:rsid w:val="001974BF"/>
    <w:rsid w:val="00197770"/>
    <w:rsid w:val="00197C7A"/>
    <w:rsid w:val="001A0058"/>
    <w:rsid w:val="001A0C56"/>
    <w:rsid w:val="001A17D3"/>
    <w:rsid w:val="001A18C8"/>
    <w:rsid w:val="001A20A4"/>
    <w:rsid w:val="001A22D6"/>
    <w:rsid w:val="001A2628"/>
    <w:rsid w:val="001A28EF"/>
    <w:rsid w:val="001A32EC"/>
    <w:rsid w:val="001A369D"/>
    <w:rsid w:val="001A384E"/>
    <w:rsid w:val="001A4D18"/>
    <w:rsid w:val="001A6722"/>
    <w:rsid w:val="001A6F7D"/>
    <w:rsid w:val="001A7ACB"/>
    <w:rsid w:val="001A7CD4"/>
    <w:rsid w:val="001B00E4"/>
    <w:rsid w:val="001B0524"/>
    <w:rsid w:val="001B097D"/>
    <w:rsid w:val="001B1094"/>
    <w:rsid w:val="001B1271"/>
    <w:rsid w:val="001B14AB"/>
    <w:rsid w:val="001B2275"/>
    <w:rsid w:val="001B39CF"/>
    <w:rsid w:val="001B4DC9"/>
    <w:rsid w:val="001B555A"/>
    <w:rsid w:val="001B64BC"/>
    <w:rsid w:val="001B6C75"/>
    <w:rsid w:val="001B6D13"/>
    <w:rsid w:val="001B6D34"/>
    <w:rsid w:val="001B74BA"/>
    <w:rsid w:val="001B7988"/>
    <w:rsid w:val="001C0541"/>
    <w:rsid w:val="001C084A"/>
    <w:rsid w:val="001C0915"/>
    <w:rsid w:val="001C0C8E"/>
    <w:rsid w:val="001C18AA"/>
    <w:rsid w:val="001C1C75"/>
    <w:rsid w:val="001C1DE7"/>
    <w:rsid w:val="001C202D"/>
    <w:rsid w:val="001C21C3"/>
    <w:rsid w:val="001C24B5"/>
    <w:rsid w:val="001C27FE"/>
    <w:rsid w:val="001C2859"/>
    <w:rsid w:val="001C2F4A"/>
    <w:rsid w:val="001C3928"/>
    <w:rsid w:val="001C3EC0"/>
    <w:rsid w:val="001C4467"/>
    <w:rsid w:val="001C5769"/>
    <w:rsid w:val="001C57A8"/>
    <w:rsid w:val="001C5EDC"/>
    <w:rsid w:val="001C65FC"/>
    <w:rsid w:val="001C6D65"/>
    <w:rsid w:val="001C73A5"/>
    <w:rsid w:val="001C75AB"/>
    <w:rsid w:val="001D067C"/>
    <w:rsid w:val="001D07F0"/>
    <w:rsid w:val="001D0AAA"/>
    <w:rsid w:val="001D1382"/>
    <w:rsid w:val="001D17E9"/>
    <w:rsid w:val="001D1948"/>
    <w:rsid w:val="001D19E7"/>
    <w:rsid w:val="001D1DC1"/>
    <w:rsid w:val="001D1EAF"/>
    <w:rsid w:val="001D2704"/>
    <w:rsid w:val="001D2B73"/>
    <w:rsid w:val="001D4083"/>
    <w:rsid w:val="001D4218"/>
    <w:rsid w:val="001D4477"/>
    <w:rsid w:val="001D4C7D"/>
    <w:rsid w:val="001D4CB7"/>
    <w:rsid w:val="001D508D"/>
    <w:rsid w:val="001D524D"/>
    <w:rsid w:val="001D5348"/>
    <w:rsid w:val="001D53DB"/>
    <w:rsid w:val="001D5512"/>
    <w:rsid w:val="001D567C"/>
    <w:rsid w:val="001D5812"/>
    <w:rsid w:val="001D5EF7"/>
    <w:rsid w:val="001D6381"/>
    <w:rsid w:val="001D6826"/>
    <w:rsid w:val="001D6B10"/>
    <w:rsid w:val="001D6D85"/>
    <w:rsid w:val="001D73E9"/>
    <w:rsid w:val="001D7A17"/>
    <w:rsid w:val="001E0137"/>
    <w:rsid w:val="001E074A"/>
    <w:rsid w:val="001E3D81"/>
    <w:rsid w:val="001E42EF"/>
    <w:rsid w:val="001E47FC"/>
    <w:rsid w:val="001E4EC8"/>
    <w:rsid w:val="001E4F63"/>
    <w:rsid w:val="001E500C"/>
    <w:rsid w:val="001E5AB2"/>
    <w:rsid w:val="001E5E24"/>
    <w:rsid w:val="001E63D3"/>
    <w:rsid w:val="001E6B34"/>
    <w:rsid w:val="001E6BE6"/>
    <w:rsid w:val="001E6D27"/>
    <w:rsid w:val="001E6F82"/>
    <w:rsid w:val="001E7974"/>
    <w:rsid w:val="001F03DC"/>
    <w:rsid w:val="001F0680"/>
    <w:rsid w:val="001F1763"/>
    <w:rsid w:val="001F1AA6"/>
    <w:rsid w:val="001F1BC9"/>
    <w:rsid w:val="001F1F66"/>
    <w:rsid w:val="001F21A4"/>
    <w:rsid w:val="001F23F5"/>
    <w:rsid w:val="001F253C"/>
    <w:rsid w:val="001F2EFF"/>
    <w:rsid w:val="001F3866"/>
    <w:rsid w:val="001F3BC3"/>
    <w:rsid w:val="001F4F78"/>
    <w:rsid w:val="001F5121"/>
    <w:rsid w:val="001F55D3"/>
    <w:rsid w:val="001F772E"/>
    <w:rsid w:val="001F7B80"/>
    <w:rsid w:val="0020057C"/>
    <w:rsid w:val="0020066C"/>
    <w:rsid w:val="00200B0A"/>
    <w:rsid w:val="002019EA"/>
    <w:rsid w:val="00201C59"/>
    <w:rsid w:val="00201E03"/>
    <w:rsid w:val="00201FBC"/>
    <w:rsid w:val="00202186"/>
    <w:rsid w:val="0020230A"/>
    <w:rsid w:val="0020242D"/>
    <w:rsid w:val="002024ED"/>
    <w:rsid w:val="00202572"/>
    <w:rsid w:val="002027ED"/>
    <w:rsid w:val="00202FBB"/>
    <w:rsid w:val="00202FCB"/>
    <w:rsid w:val="002033F6"/>
    <w:rsid w:val="002041FD"/>
    <w:rsid w:val="00204351"/>
    <w:rsid w:val="0020458C"/>
    <w:rsid w:val="0020493C"/>
    <w:rsid w:val="00204B24"/>
    <w:rsid w:val="00204F3F"/>
    <w:rsid w:val="002050C4"/>
    <w:rsid w:val="0020510D"/>
    <w:rsid w:val="002052E4"/>
    <w:rsid w:val="00205445"/>
    <w:rsid w:val="0020561F"/>
    <w:rsid w:val="00205E9F"/>
    <w:rsid w:val="002070EC"/>
    <w:rsid w:val="00207C3E"/>
    <w:rsid w:val="00210025"/>
    <w:rsid w:val="002102D3"/>
    <w:rsid w:val="00210529"/>
    <w:rsid w:val="0021060E"/>
    <w:rsid w:val="002118B8"/>
    <w:rsid w:val="002119B4"/>
    <w:rsid w:val="00211C54"/>
    <w:rsid w:val="00211E37"/>
    <w:rsid w:val="00212517"/>
    <w:rsid w:val="00212624"/>
    <w:rsid w:val="0021283B"/>
    <w:rsid w:val="002131A3"/>
    <w:rsid w:val="00213A22"/>
    <w:rsid w:val="00214D81"/>
    <w:rsid w:val="002153E7"/>
    <w:rsid w:val="00215ABE"/>
    <w:rsid w:val="002160BE"/>
    <w:rsid w:val="0021625D"/>
    <w:rsid w:val="002163D6"/>
    <w:rsid w:val="002166BA"/>
    <w:rsid w:val="00216818"/>
    <w:rsid w:val="00216977"/>
    <w:rsid w:val="002172A6"/>
    <w:rsid w:val="002179A5"/>
    <w:rsid w:val="00217AF2"/>
    <w:rsid w:val="002209B1"/>
    <w:rsid w:val="002212F0"/>
    <w:rsid w:val="002215DE"/>
    <w:rsid w:val="002225E6"/>
    <w:rsid w:val="00222B82"/>
    <w:rsid w:val="0022319C"/>
    <w:rsid w:val="002240BB"/>
    <w:rsid w:val="00224263"/>
    <w:rsid w:val="00224332"/>
    <w:rsid w:val="00224650"/>
    <w:rsid w:val="002257B6"/>
    <w:rsid w:val="002259BB"/>
    <w:rsid w:val="0022601F"/>
    <w:rsid w:val="00226ABE"/>
    <w:rsid w:val="00227403"/>
    <w:rsid w:val="00227691"/>
    <w:rsid w:val="002278EB"/>
    <w:rsid w:val="00227CA6"/>
    <w:rsid w:val="00227EA4"/>
    <w:rsid w:val="00227F89"/>
    <w:rsid w:val="0023011C"/>
    <w:rsid w:val="002303D0"/>
    <w:rsid w:val="00231177"/>
    <w:rsid w:val="002318D5"/>
    <w:rsid w:val="0023209B"/>
    <w:rsid w:val="002320D7"/>
    <w:rsid w:val="002324EB"/>
    <w:rsid w:val="00232909"/>
    <w:rsid w:val="00232D2E"/>
    <w:rsid w:val="00232E3E"/>
    <w:rsid w:val="0023301B"/>
    <w:rsid w:val="0023397A"/>
    <w:rsid w:val="00233B58"/>
    <w:rsid w:val="00234A8C"/>
    <w:rsid w:val="00234AA5"/>
    <w:rsid w:val="00234CA5"/>
    <w:rsid w:val="00234E4A"/>
    <w:rsid w:val="002350EF"/>
    <w:rsid w:val="00235186"/>
    <w:rsid w:val="00235D26"/>
    <w:rsid w:val="00235D40"/>
    <w:rsid w:val="00235DE0"/>
    <w:rsid w:val="00236599"/>
    <w:rsid w:val="002367E8"/>
    <w:rsid w:val="00236BE6"/>
    <w:rsid w:val="00236D78"/>
    <w:rsid w:val="00236F7B"/>
    <w:rsid w:val="0023774A"/>
    <w:rsid w:val="00237AD2"/>
    <w:rsid w:val="00241152"/>
    <w:rsid w:val="00241A0E"/>
    <w:rsid w:val="002420D9"/>
    <w:rsid w:val="00242440"/>
    <w:rsid w:val="00242C6F"/>
    <w:rsid w:val="00243EC5"/>
    <w:rsid w:val="00243F5E"/>
    <w:rsid w:val="00244441"/>
    <w:rsid w:val="00244755"/>
    <w:rsid w:val="00244B07"/>
    <w:rsid w:val="00245132"/>
    <w:rsid w:val="0024538A"/>
    <w:rsid w:val="002453AC"/>
    <w:rsid w:val="00245827"/>
    <w:rsid w:val="0024632D"/>
    <w:rsid w:val="002464B6"/>
    <w:rsid w:val="00246B04"/>
    <w:rsid w:val="00246E86"/>
    <w:rsid w:val="00247202"/>
    <w:rsid w:val="00247978"/>
    <w:rsid w:val="00247C87"/>
    <w:rsid w:val="00247CAA"/>
    <w:rsid w:val="00247D06"/>
    <w:rsid w:val="00247D70"/>
    <w:rsid w:val="00250786"/>
    <w:rsid w:val="00251348"/>
    <w:rsid w:val="0025143F"/>
    <w:rsid w:val="0025167B"/>
    <w:rsid w:val="00251720"/>
    <w:rsid w:val="002519FC"/>
    <w:rsid w:val="00251B17"/>
    <w:rsid w:val="00251FD1"/>
    <w:rsid w:val="00252344"/>
    <w:rsid w:val="00252389"/>
    <w:rsid w:val="0025239C"/>
    <w:rsid w:val="002528CE"/>
    <w:rsid w:val="0025292A"/>
    <w:rsid w:val="00252E8B"/>
    <w:rsid w:val="0025328E"/>
    <w:rsid w:val="00253822"/>
    <w:rsid w:val="0025384D"/>
    <w:rsid w:val="00254423"/>
    <w:rsid w:val="00254560"/>
    <w:rsid w:val="0025694B"/>
    <w:rsid w:val="00256B85"/>
    <w:rsid w:val="00256C89"/>
    <w:rsid w:val="00257291"/>
    <w:rsid w:val="0025732E"/>
    <w:rsid w:val="00257359"/>
    <w:rsid w:val="00257395"/>
    <w:rsid w:val="002574A8"/>
    <w:rsid w:val="002576FF"/>
    <w:rsid w:val="00257BD4"/>
    <w:rsid w:val="00257F9A"/>
    <w:rsid w:val="002605B5"/>
    <w:rsid w:val="00260846"/>
    <w:rsid w:val="00260E76"/>
    <w:rsid w:val="0026114A"/>
    <w:rsid w:val="00262126"/>
    <w:rsid w:val="00262554"/>
    <w:rsid w:val="002626A4"/>
    <w:rsid w:val="00262F51"/>
    <w:rsid w:val="002635E0"/>
    <w:rsid w:val="00263DE9"/>
    <w:rsid w:val="00264456"/>
    <w:rsid w:val="002646AF"/>
    <w:rsid w:val="002648D7"/>
    <w:rsid w:val="002652EF"/>
    <w:rsid w:val="0026550D"/>
    <w:rsid w:val="00265587"/>
    <w:rsid w:val="00265705"/>
    <w:rsid w:val="00265742"/>
    <w:rsid w:val="00265AFB"/>
    <w:rsid w:val="00265B74"/>
    <w:rsid w:val="00265EA6"/>
    <w:rsid w:val="002661BA"/>
    <w:rsid w:val="00267194"/>
    <w:rsid w:val="0026741F"/>
    <w:rsid w:val="002678D4"/>
    <w:rsid w:val="002702B6"/>
    <w:rsid w:val="0027047F"/>
    <w:rsid w:val="00270611"/>
    <w:rsid w:val="00271425"/>
    <w:rsid w:val="0027174D"/>
    <w:rsid w:val="002717A1"/>
    <w:rsid w:val="002717FD"/>
    <w:rsid w:val="00271A11"/>
    <w:rsid w:val="00271A83"/>
    <w:rsid w:val="00271C2E"/>
    <w:rsid w:val="00271FBA"/>
    <w:rsid w:val="002722B0"/>
    <w:rsid w:val="0027263A"/>
    <w:rsid w:val="00272DE0"/>
    <w:rsid w:val="00272FEC"/>
    <w:rsid w:val="00273AA7"/>
    <w:rsid w:val="00273CA6"/>
    <w:rsid w:val="0027471B"/>
    <w:rsid w:val="00274E5C"/>
    <w:rsid w:val="0027512A"/>
    <w:rsid w:val="00275442"/>
    <w:rsid w:val="002754FE"/>
    <w:rsid w:val="002758DD"/>
    <w:rsid w:val="00275997"/>
    <w:rsid w:val="00275AE4"/>
    <w:rsid w:val="00276084"/>
    <w:rsid w:val="002762E0"/>
    <w:rsid w:val="002771E7"/>
    <w:rsid w:val="002803E0"/>
    <w:rsid w:val="00280929"/>
    <w:rsid w:val="00280CAA"/>
    <w:rsid w:val="00280FE3"/>
    <w:rsid w:val="002817C1"/>
    <w:rsid w:val="00281D16"/>
    <w:rsid w:val="00281F66"/>
    <w:rsid w:val="00282E64"/>
    <w:rsid w:val="00283600"/>
    <w:rsid w:val="0028400E"/>
    <w:rsid w:val="002843AC"/>
    <w:rsid w:val="00284668"/>
    <w:rsid w:val="002846D7"/>
    <w:rsid w:val="00284E44"/>
    <w:rsid w:val="00285109"/>
    <w:rsid w:val="002855A1"/>
    <w:rsid w:val="0028658D"/>
    <w:rsid w:val="00287202"/>
    <w:rsid w:val="002874DA"/>
    <w:rsid w:val="00287BCC"/>
    <w:rsid w:val="002912A0"/>
    <w:rsid w:val="00291DD9"/>
    <w:rsid w:val="00292649"/>
    <w:rsid w:val="002937A0"/>
    <w:rsid w:val="00293CC6"/>
    <w:rsid w:val="0029451C"/>
    <w:rsid w:val="002948B9"/>
    <w:rsid w:val="00294C61"/>
    <w:rsid w:val="00294FD3"/>
    <w:rsid w:val="00295635"/>
    <w:rsid w:val="00295CB4"/>
    <w:rsid w:val="00295E93"/>
    <w:rsid w:val="002965B9"/>
    <w:rsid w:val="00296733"/>
    <w:rsid w:val="0029675B"/>
    <w:rsid w:val="0029700D"/>
    <w:rsid w:val="00297063"/>
    <w:rsid w:val="00297815"/>
    <w:rsid w:val="00297A91"/>
    <w:rsid w:val="00297ACE"/>
    <w:rsid w:val="00297F91"/>
    <w:rsid w:val="002A01BB"/>
    <w:rsid w:val="002A0634"/>
    <w:rsid w:val="002A10FF"/>
    <w:rsid w:val="002A1253"/>
    <w:rsid w:val="002A179B"/>
    <w:rsid w:val="002A1D51"/>
    <w:rsid w:val="002A1F15"/>
    <w:rsid w:val="002A215A"/>
    <w:rsid w:val="002A281B"/>
    <w:rsid w:val="002A50DA"/>
    <w:rsid w:val="002A5287"/>
    <w:rsid w:val="002A798F"/>
    <w:rsid w:val="002B0BE9"/>
    <w:rsid w:val="002B0C35"/>
    <w:rsid w:val="002B0CB5"/>
    <w:rsid w:val="002B12A6"/>
    <w:rsid w:val="002B141F"/>
    <w:rsid w:val="002B14D1"/>
    <w:rsid w:val="002B1508"/>
    <w:rsid w:val="002B167C"/>
    <w:rsid w:val="002B1AF9"/>
    <w:rsid w:val="002B1D24"/>
    <w:rsid w:val="002B22CA"/>
    <w:rsid w:val="002B2668"/>
    <w:rsid w:val="002B2826"/>
    <w:rsid w:val="002B37CC"/>
    <w:rsid w:val="002B3CBB"/>
    <w:rsid w:val="002B3ED2"/>
    <w:rsid w:val="002B4BA6"/>
    <w:rsid w:val="002B4BD1"/>
    <w:rsid w:val="002B5C22"/>
    <w:rsid w:val="002B5E92"/>
    <w:rsid w:val="002B6AD2"/>
    <w:rsid w:val="002B6DDB"/>
    <w:rsid w:val="002B7179"/>
    <w:rsid w:val="002B719C"/>
    <w:rsid w:val="002B7715"/>
    <w:rsid w:val="002C0734"/>
    <w:rsid w:val="002C0830"/>
    <w:rsid w:val="002C0CC1"/>
    <w:rsid w:val="002C106B"/>
    <w:rsid w:val="002C1A8B"/>
    <w:rsid w:val="002C217A"/>
    <w:rsid w:val="002C2765"/>
    <w:rsid w:val="002C2D88"/>
    <w:rsid w:val="002C332C"/>
    <w:rsid w:val="002C3C35"/>
    <w:rsid w:val="002C3D2B"/>
    <w:rsid w:val="002C3D46"/>
    <w:rsid w:val="002C4BBC"/>
    <w:rsid w:val="002C4E00"/>
    <w:rsid w:val="002C516C"/>
    <w:rsid w:val="002C6356"/>
    <w:rsid w:val="002C636A"/>
    <w:rsid w:val="002C679B"/>
    <w:rsid w:val="002C6AB5"/>
    <w:rsid w:val="002C6EDE"/>
    <w:rsid w:val="002C6FF4"/>
    <w:rsid w:val="002C742D"/>
    <w:rsid w:val="002C7AF1"/>
    <w:rsid w:val="002C7C7C"/>
    <w:rsid w:val="002C7FA7"/>
    <w:rsid w:val="002D01E3"/>
    <w:rsid w:val="002D0302"/>
    <w:rsid w:val="002D05F2"/>
    <w:rsid w:val="002D0D7F"/>
    <w:rsid w:val="002D122D"/>
    <w:rsid w:val="002D12C4"/>
    <w:rsid w:val="002D12EC"/>
    <w:rsid w:val="002D1CE5"/>
    <w:rsid w:val="002D204D"/>
    <w:rsid w:val="002D2088"/>
    <w:rsid w:val="002D21D2"/>
    <w:rsid w:val="002D258A"/>
    <w:rsid w:val="002D29FB"/>
    <w:rsid w:val="002D2A91"/>
    <w:rsid w:val="002D2D72"/>
    <w:rsid w:val="002D2EC6"/>
    <w:rsid w:val="002D3050"/>
    <w:rsid w:val="002D33A9"/>
    <w:rsid w:val="002D34D9"/>
    <w:rsid w:val="002D36F2"/>
    <w:rsid w:val="002D392D"/>
    <w:rsid w:val="002D3F55"/>
    <w:rsid w:val="002D3F8B"/>
    <w:rsid w:val="002D3FBB"/>
    <w:rsid w:val="002D40DC"/>
    <w:rsid w:val="002D4CA5"/>
    <w:rsid w:val="002D4DFE"/>
    <w:rsid w:val="002D4E31"/>
    <w:rsid w:val="002D4F13"/>
    <w:rsid w:val="002D5012"/>
    <w:rsid w:val="002D541E"/>
    <w:rsid w:val="002D544C"/>
    <w:rsid w:val="002D5877"/>
    <w:rsid w:val="002D5DCA"/>
    <w:rsid w:val="002D604F"/>
    <w:rsid w:val="002D66F0"/>
    <w:rsid w:val="002D76E2"/>
    <w:rsid w:val="002D7860"/>
    <w:rsid w:val="002D78D6"/>
    <w:rsid w:val="002D7997"/>
    <w:rsid w:val="002D7CD7"/>
    <w:rsid w:val="002D7EF2"/>
    <w:rsid w:val="002E0959"/>
    <w:rsid w:val="002E0965"/>
    <w:rsid w:val="002E0DCF"/>
    <w:rsid w:val="002E0F67"/>
    <w:rsid w:val="002E1256"/>
    <w:rsid w:val="002E1B54"/>
    <w:rsid w:val="002E1B76"/>
    <w:rsid w:val="002E243F"/>
    <w:rsid w:val="002E2A51"/>
    <w:rsid w:val="002E2E5B"/>
    <w:rsid w:val="002E2F17"/>
    <w:rsid w:val="002E3173"/>
    <w:rsid w:val="002E323F"/>
    <w:rsid w:val="002E3DC2"/>
    <w:rsid w:val="002E406A"/>
    <w:rsid w:val="002E40DC"/>
    <w:rsid w:val="002E41DA"/>
    <w:rsid w:val="002E41E2"/>
    <w:rsid w:val="002E443B"/>
    <w:rsid w:val="002E5355"/>
    <w:rsid w:val="002E5656"/>
    <w:rsid w:val="002E5A23"/>
    <w:rsid w:val="002E5D3E"/>
    <w:rsid w:val="002E5D4D"/>
    <w:rsid w:val="002E5D61"/>
    <w:rsid w:val="002E630C"/>
    <w:rsid w:val="002E63B1"/>
    <w:rsid w:val="002E6505"/>
    <w:rsid w:val="002E6B41"/>
    <w:rsid w:val="002E6CA6"/>
    <w:rsid w:val="002E6CEF"/>
    <w:rsid w:val="002E6D90"/>
    <w:rsid w:val="002E796E"/>
    <w:rsid w:val="002E7ABF"/>
    <w:rsid w:val="002E7E0E"/>
    <w:rsid w:val="002E7F63"/>
    <w:rsid w:val="002F0094"/>
    <w:rsid w:val="002F076D"/>
    <w:rsid w:val="002F097B"/>
    <w:rsid w:val="002F117D"/>
    <w:rsid w:val="002F138A"/>
    <w:rsid w:val="002F1AB7"/>
    <w:rsid w:val="002F209A"/>
    <w:rsid w:val="002F2368"/>
    <w:rsid w:val="002F28CC"/>
    <w:rsid w:val="002F292E"/>
    <w:rsid w:val="002F3125"/>
    <w:rsid w:val="002F369B"/>
    <w:rsid w:val="002F425F"/>
    <w:rsid w:val="002F4325"/>
    <w:rsid w:val="002F4790"/>
    <w:rsid w:val="002F483C"/>
    <w:rsid w:val="002F4A19"/>
    <w:rsid w:val="002F4A5F"/>
    <w:rsid w:val="002F515A"/>
    <w:rsid w:val="002F5697"/>
    <w:rsid w:val="002F5989"/>
    <w:rsid w:val="002F5C82"/>
    <w:rsid w:val="002F5F5B"/>
    <w:rsid w:val="002F62BB"/>
    <w:rsid w:val="002F630C"/>
    <w:rsid w:val="002F6B12"/>
    <w:rsid w:val="002F7707"/>
    <w:rsid w:val="002F7804"/>
    <w:rsid w:val="002F794B"/>
    <w:rsid w:val="002F7E65"/>
    <w:rsid w:val="0030024C"/>
    <w:rsid w:val="0030072B"/>
    <w:rsid w:val="00300DDE"/>
    <w:rsid w:val="003014C5"/>
    <w:rsid w:val="00301946"/>
    <w:rsid w:val="00301C17"/>
    <w:rsid w:val="0030202F"/>
    <w:rsid w:val="0030205F"/>
    <w:rsid w:val="0030216A"/>
    <w:rsid w:val="0030279F"/>
    <w:rsid w:val="00302F5E"/>
    <w:rsid w:val="00303936"/>
    <w:rsid w:val="003039A2"/>
    <w:rsid w:val="00303A35"/>
    <w:rsid w:val="00303EB1"/>
    <w:rsid w:val="00303FF2"/>
    <w:rsid w:val="0030445A"/>
    <w:rsid w:val="00304E15"/>
    <w:rsid w:val="00304EE9"/>
    <w:rsid w:val="00305EB6"/>
    <w:rsid w:val="0030622A"/>
    <w:rsid w:val="0030632E"/>
    <w:rsid w:val="00306493"/>
    <w:rsid w:val="00306BC2"/>
    <w:rsid w:val="00306CF5"/>
    <w:rsid w:val="00306E70"/>
    <w:rsid w:val="0030707C"/>
    <w:rsid w:val="00307ACA"/>
    <w:rsid w:val="00310262"/>
    <w:rsid w:val="00310430"/>
    <w:rsid w:val="0031098F"/>
    <w:rsid w:val="003114F8"/>
    <w:rsid w:val="00311AFB"/>
    <w:rsid w:val="00311FB0"/>
    <w:rsid w:val="0031218F"/>
    <w:rsid w:val="00312BA9"/>
    <w:rsid w:val="00312EFB"/>
    <w:rsid w:val="003130E1"/>
    <w:rsid w:val="003131F8"/>
    <w:rsid w:val="00313541"/>
    <w:rsid w:val="00313C14"/>
    <w:rsid w:val="00313C7E"/>
    <w:rsid w:val="003141C7"/>
    <w:rsid w:val="0031463E"/>
    <w:rsid w:val="00314828"/>
    <w:rsid w:val="00314AE3"/>
    <w:rsid w:val="00315068"/>
    <w:rsid w:val="00316088"/>
    <w:rsid w:val="003160EB"/>
    <w:rsid w:val="00316E7F"/>
    <w:rsid w:val="003173AE"/>
    <w:rsid w:val="00317576"/>
    <w:rsid w:val="00317816"/>
    <w:rsid w:val="00317D28"/>
    <w:rsid w:val="00317E2F"/>
    <w:rsid w:val="003207BD"/>
    <w:rsid w:val="0032085F"/>
    <w:rsid w:val="003219F8"/>
    <w:rsid w:val="00321B51"/>
    <w:rsid w:val="00321F81"/>
    <w:rsid w:val="00321FF2"/>
    <w:rsid w:val="003229B9"/>
    <w:rsid w:val="00322A54"/>
    <w:rsid w:val="00322DF6"/>
    <w:rsid w:val="00322E19"/>
    <w:rsid w:val="00322F5A"/>
    <w:rsid w:val="003235E9"/>
    <w:rsid w:val="003238AF"/>
    <w:rsid w:val="00323FF9"/>
    <w:rsid w:val="0032428E"/>
    <w:rsid w:val="00324352"/>
    <w:rsid w:val="00324B65"/>
    <w:rsid w:val="00325750"/>
    <w:rsid w:val="00325776"/>
    <w:rsid w:val="00325B01"/>
    <w:rsid w:val="00326217"/>
    <w:rsid w:val="003268B6"/>
    <w:rsid w:val="00326A2D"/>
    <w:rsid w:val="00327257"/>
    <w:rsid w:val="00327566"/>
    <w:rsid w:val="0033020A"/>
    <w:rsid w:val="00330502"/>
    <w:rsid w:val="0033073E"/>
    <w:rsid w:val="00330A3F"/>
    <w:rsid w:val="00330E99"/>
    <w:rsid w:val="003321BF"/>
    <w:rsid w:val="00332324"/>
    <w:rsid w:val="00332E0D"/>
    <w:rsid w:val="0033334F"/>
    <w:rsid w:val="00333B53"/>
    <w:rsid w:val="00333C76"/>
    <w:rsid w:val="00333F1F"/>
    <w:rsid w:val="00334A00"/>
    <w:rsid w:val="00334CF9"/>
    <w:rsid w:val="00334D08"/>
    <w:rsid w:val="00334D21"/>
    <w:rsid w:val="00335207"/>
    <w:rsid w:val="003352C1"/>
    <w:rsid w:val="0033533C"/>
    <w:rsid w:val="0033552D"/>
    <w:rsid w:val="00335B2C"/>
    <w:rsid w:val="00336A96"/>
    <w:rsid w:val="0033756F"/>
    <w:rsid w:val="0033775B"/>
    <w:rsid w:val="00337CD8"/>
    <w:rsid w:val="003407BB"/>
    <w:rsid w:val="00340C74"/>
    <w:rsid w:val="00341D62"/>
    <w:rsid w:val="003428BA"/>
    <w:rsid w:val="00343145"/>
    <w:rsid w:val="003434BD"/>
    <w:rsid w:val="00343623"/>
    <w:rsid w:val="00343700"/>
    <w:rsid w:val="00343CF9"/>
    <w:rsid w:val="003448AB"/>
    <w:rsid w:val="00344ABD"/>
    <w:rsid w:val="00344AC3"/>
    <w:rsid w:val="00344C39"/>
    <w:rsid w:val="00344FD6"/>
    <w:rsid w:val="00345020"/>
    <w:rsid w:val="00345808"/>
    <w:rsid w:val="00345BA2"/>
    <w:rsid w:val="003460D8"/>
    <w:rsid w:val="003466CF"/>
    <w:rsid w:val="00346F65"/>
    <w:rsid w:val="003474B3"/>
    <w:rsid w:val="00347605"/>
    <w:rsid w:val="00347634"/>
    <w:rsid w:val="00347905"/>
    <w:rsid w:val="0035033D"/>
    <w:rsid w:val="003503D8"/>
    <w:rsid w:val="00351081"/>
    <w:rsid w:val="003510FF"/>
    <w:rsid w:val="003516E5"/>
    <w:rsid w:val="00351991"/>
    <w:rsid w:val="003521E7"/>
    <w:rsid w:val="00352691"/>
    <w:rsid w:val="00352DED"/>
    <w:rsid w:val="00353002"/>
    <w:rsid w:val="00353327"/>
    <w:rsid w:val="00353630"/>
    <w:rsid w:val="00353F86"/>
    <w:rsid w:val="00355274"/>
    <w:rsid w:val="00355908"/>
    <w:rsid w:val="00355952"/>
    <w:rsid w:val="00355C43"/>
    <w:rsid w:val="00355C9E"/>
    <w:rsid w:val="00355F39"/>
    <w:rsid w:val="00355F48"/>
    <w:rsid w:val="003561F0"/>
    <w:rsid w:val="00357224"/>
    <w:rsid w:val="003572A3"/>
    <w:rsid w:val="0035766B"/>
    <w:rsid w:val="00360856"/>
    <w:rsid w:val="00362594"/>
    <w:rsid w:val="00362930"/>
    <w:rsid w:val="00363290"/>
    <w:rsid w:val="0036356A"/>
    <w:rsid w:val="0036380B"/>
    <w:rsid w:val="00363B0F"/>
    <w:rsid w:val="00364296"/>
    <w:rsid w:val="003642A3"/>
    <w:rsid w:val="00364A88"/>
    <w:rsid w:val="00364DA8"/>
    <w:rsid w:val="00364F49"/>
    <w:rsid w:val="00365327"/>
    <w:rsid w:val="003657CE"/>
    <w:rsid w:val="00365F2C"/>
    <w:rsid w:val="00366DF4"/>
    <w:rsid w:val="00367A32"/>
    <w:rsid w:val="00371984"/>
    <w:rsid w:val="003722D2"/>
    <w:rsid w:val="00372571"/>
    <w:rsid w:val="00372D53"/>
    <w:rsid w:val="00372E47"/>
    <w:rsid w:val="003734EC"/>
    <w:rsid w:val="00373627"/>
    <w:rsid w:val="00374E58"/>
    <w:rsid w:val="00374F11"/>
    <w:rsid w:val="00376F33"/>
    <w:rsid w:val="003778D2"/>
    <w:rsid w:val="00377EED"/>
    <w:rsid w:val="003803C5"/>
    <w:rsid w:val="003804E0"/>
    <w:rsid w:val="003805D4"/>
    <w:rsid w:val="003807A9"/>
    <w:rsid w:val="003809C9"/>
    <w:rsid w:val="00380BC0"/>
    <w:rsid w:val="00380D93"/>
    <w:rsid w:val="0038167B"/>
    <w:rsid w:val="00381B99"/>
    <w:rsid w:val="00381C9C"/>
    <w:rsid w:val="00381D98"/>
    <w:rsid w:val="00381E14"/>
    <w:rsid w:val="00382D48"/>
    <w:rsid w:val="00382D6E"/>
    <w:rsid w:val="00383656"/>
    <w:rsid w:val="00383AA5"/>
    <w:rsid w:val="0038435E"/>
    <w:rsid w:val="0038462B"/>
    <w:rsid w:val="0038473B"/>
    <w:rsid w:val="00384BD7"/>
    <w:rsid w:val="00385193"/>
    <w:rsid w:val="00385CB3"/>
    <w:rsid w:val="003863CF"/>
    <w:rsid w:val="003870E7"/>
    <w:rsid w:val="00387165"/>
    <w:rsid w:val="0038738D"/>
    <w:rsid w:val="003878E0"/>
    <w:rsid w:val="00387ABC"/>
    <w:rsid w:val="00387BCD"/>
    <w:rsid w:val="00387D2A"/>
    <w:rsid w:val="00390505"/>
    <w:rsid w:val="00390558"/>
    <w:rsid w:val="003905E7"/>
    <w:rsid w:val="00390989"/>
    <w:rsid w:val="003911CB"/>
    <w:rsid w:val="003916D9"/>
    <w:rsid w:val="003921FA"/>
    <w:rsid w:val="003927A2"/>
    <w:rsid w:val="00392BB3"/>
    <w:rsid w:val="00392BE1"/>
    <w:rsid w:val="003932B2"/>
    <w:rsid w:val="0039365C"/>
    <w:rsid w:val="00393A09"/>
    <w:rsid w:val="00393B9A"/>
    <w:rsid w:val="00393D03"/>
    <w:rsid w:val="00394182"/>
    <w:rsid w:val="003943D6"/>
    <w:rsid w:val="0039441C"/>
    <w:rsid w:val="00395653"/>
    <w:rsid w:val="003959B6"/>
    <w:rsid w:val="00395A00"/>
    <w:rsid w:val="00395A91"/>
    <w:rsid w:val="00395F5B"/>
    <w:rsid w:val="003963FB"/>
    <w:rsid w:val="00396404"/>
    <w:rsid w:val="0039665B"/>
    <w:rsid w:val="00396752"/>
    <w:rsid w:val="00396ACB"/>
    <w:rsid w:val="003A02BD"/>
    <w:rsid w:val="003A0423"/>
    <w:rsid w:val="003A0503"/>
    <w:rsid w:val="003A062B"/>
    <w:rsid w:val="003A0ABE"/>
    <w:rsid w:val="003A0B78"/>
    <w:rsid w:val="003A11B3"/>
    <w:rsid w:val="003A12E8"/>
    <w:rsid w:val="003A15E8"/>
    <w:rsid w:val="003A1BA6"/>
    <w:rsid w:val="003A1E6C"/>
    <w:rsid w:val="003A2743"/>
    <w:rsid w:val="003A29DA"/>
    <w:rsid w:val="003A2BBB"/>
    <w:rsid w:val="003A33FD"/>
    <w:rsid w:val="003A35E4"/>
    <w:rsid w:val="003A397F"/>
    <w:rsid w:val="003A3BFC"/>
    <w:rsid w:val="003A3E67"/>
    <w:rsid w:val="003A4792"/>
    <w:rsid w:val="003A482D"/>
    <w:rsid w:val="003A49A4"/>
    <w:rsid w:val="003A4FB4"/>
    <w:rsid w:val="003A59BC"/>
    <w:rsid w:val="003A65FA"/>
    <w:rsid w:val="003A669D"/>
    <w:rsid w:val="003A7347"/>
    <w:rsid w:val="003A748E"/>
    <w:rsid w:val="003B03DC"/>
    <w:rsid w:val="003B0E2D"/>
    <w:rsid w:val="003B1525"/>
    <w:rsid w:val="003B196F"/>
    <w:rsid w:val="003B2088"/>
    <w:rsid w:val="003B2CD1"/>
    <w:rsid w:val="003B3078"/>
    <w:rsid w:val="003B32FA"/>
    <w:rsid w:val="003B3539"/>
    <w:rsid w:val="003B3747"/>
    <w:rsid w:val="003B3C9C"/>
    <w:rsid w:val="003B3EDD"/>
    <w:rsid w:val="003B4902"/>
    <w:rsid w:val="003B4B1D"/>
    <w:rsid w:val="003B4D03"/>
    <w:rsid w:val="003B4EA1"/>
    <w:rsid w:val="003B5923"/>
    <w:rsid w:val="003B5F8C"/>
    <w:rsid w:val="003B6608"/>
    <w:rsid w:val="003B6EA9"/>
    <w:rsid w:val="003B6F51"/>
    <w:rsid w:val="003B71E5"/>
    <w:rsid w:val="003B73F4"/>
    <w:rsid w:val="003B7C73"/>
    <w:rsid w:val="003C08D7"/>
    <w:rsid w:val="003C0B16"/>
    <w:rsid w:val="003C207F"/>
    <w:rsid w:val="003C25C4"/>
    <w:rsid w:val="003C26B0"/>
    <w:rsid w:val="003C28FA"/>
    <w:rsid w:val="003C2D0C"/>
    <w:rsid w:val="003C2F09"/>
    <w:rsid w:val="003C2F73"/>
    <w:rsid w:val="003C3433"/>
    <w:rsid w:val="003C3E72"/>
    <w:rsid w:val="003C4226"/>
    <w:rsid w:val="003C4AAC"/>
    <w:rsid w:val="003C4AB4"/>
    <w:rsid w:val="003C4B84"/>
    <w:rsid w:val="003C5362"/>
    <w:rsid w:val="003C63F3"/>
    <w:rsid w:val="003C6AEB"/>
    <w:rsid w:val="003C6B0E"/>
    <w:rsid w:val="003C7002"/>
    <w:rsid w:val="003C7398"/>
    <w:rsid w:val="003C7566"/>
    <w:rsid w:val="003C7868"/>
    <w:rsid w:val="003D0116"/>
    <w:rsid w:val="003D0432"/>
    <w:rsid w:val="003D09B7"/>
    <w:rsid w:val="003D1156"/>
    <w:rsid w:val="003D15C5"/>
    <w:rsid w:val="003D1CCA"/>
    <w:rsid w:val="003D1D77"/>
    <w:rsid w:val="003D1E03"/>
    <w:rsid w:val="003D1E29"/>
    <w:rsid w:val="003D2000"/>
    <w:rsid w:val="003D206D"/>
    <w:rsid w:val="003D27CA"/>
    <w:rsid w:val="003D3FB8"/>
    <w:rsid w:val="003D461E"/>
    <w:rsid w:val="003D49A3"/>
    <w:rsid w:val="003D4D60"/>
    <w:rsid w:val="003D5112"/>
    <w:rsid w:val="003D5D09"/>
    <w:rsid w:val="003D69F4"/>
    <w:rsid w:val="003D72CF"/>
    <w:rsid w:val="003D731F"/>
    <w:rsid w:val="003D77A3"/>
    <w:rsid w:val="003D77B4"/>
    <w:rsid w:val="003D7878"/>
    <w:rsid w:val="003E085C"/>
    <w:rsid w:val="003E0E11"/>
    <w:rsid w:val="003E102E"/>
    <w:rsid w:val="003E10E9"/>
    <w:rsid w:val="003E11BD"/>
    <w:rsid w:val="003E1395"/>
    <w:rsid w:val="003E24EE"/>
    <w:rsid w:val="003E25CA"/>
    <w:rsid w:val="003E26F8"/>
    <w:rsid w:val="003E288F"/>
    <w:rsid w:val="003E306C"/>
    <w:rsid w:val="003E3BD7"/>
    <w:rsid w:val="003E3D47"/>
    <w:rsid w:val="003E442A"/>
    <w:rsid w:val="003E46F5"/>
    <w:rsid w:val="003E4782"/>
    <w:rsid w:val="003E47A9"/>
    <w:rsid w:val="003E5806"/>
    <w:rsid w:val="003E62EA"/>
    <w:rsid w:val="003E698F"/>
    <w:rsid w:val="003E6C10"/>
    <w:rsid w:val="003E70EC"/>
    <w:rsid w:val="003F0122"/>
    <w:rsid w:val="003F0510"/>
    <w:rsid w:val="003F0783"/>
    <w:rsid w:val="003F0977"/>
    <w:rsid w:val="003F0C0A"/>
    <w:rsid w:val="003F10B8"/>
    <w:rsid w:val="003F1B85"/>
    <w:rsid w:val="003F1FDA"/>
    <w:rsid w:val="003F2362"/>
    <w:rsid w:val="003F2D28"/>
    <w:rsid w:val="003F2F8C"/>
    <w:rsid w:val="003F2FE0"/>
    <w:rsid w:val="003F337E"/>
    <w:rsid w:val="003F37A6"/>
    <w:rsid w:val="003F3920"/>
    <w:rsid w:val="003F394A"/>
    <w:rsid w:val="003F3A54"/>
    <w:rsid w:val="003F3B50"/>
    <w:rsid w:val="003F3EA1"/>
    <w:rsid w:val="003F3F3B"/>
    <w:rsid w:val="003F471E"/>
    <w:rsid w:val="003F4D17"/>
    <w:rsid w:val="003F4F2E"/>
    <w:rsid w:val="003F51AF"/>
    <w:rsid w:val="003F56A6"/>
    <w:rsid w:val="003F57A9"/>
    <w:rsid w:val="003F5C93"/>
    <w:rsid w:val="003F5E8E"/>
    <w:rsid w:val="003F669B"/>
    <w:rsid w:val="003F6FDE"/>
    <w:rsid w:val="004000BB"/>
    <w:rsid w:val="004010DB"/>
    <w:rsid w:val="004015B8"/>
    <w:rsid w:val="00401A51"/>
    <w:rsid w:val="00401ACE"/>
    <w:rsid w:val="00401F06"/>
    <w:rsid w:val="0040232B"/>
    <w:rsid w:val="00402B10"/>
    <w:rsid w:val="00402D52"/>
    <w:rsid w:val="00402DAD"/>
    <w:rsid w:val="00402E2E"/>
    <w:rsid w:val="004038FF"/>
    <w:rsid w:val="00404270"/>
    <w:rsid w:val="00404606"/>
    <w:rsid w:val="00404762"/>
    <w:rsid w:val="00404BAE"/>
    <w:rsid w:val="004056BC"/>
    <w:rsid w:val="00405A21"/>
    <w:rsid w:val="00406875"/>
    <w:rsid w:val="004079B5"/>
    <w:rsid w:val="00407DBA"/>
    <w:rsid w:val="00410105"/>
    <w:rsid w:val="0041076D"/>
    <w:rsid w:val="004108B4"/>
    <w:rsid w:val="00410C6F"/>
    <w:rsid w:val="00410EE0"/>
    <w:rsid w:val="004113B9"/>
    <w:rsid w:val="00411429"/>
    <w:rsid w:val="00411D5C"/>
    <w:rsid w:val="00411D8A"/>
    <w:rsid w:val="004121FB"/>
    <w:rsid w:val="0041240A"/>
    <w:rsid w:val="00412438"/>
    <w:rsid w:val="00412CAF"/>
    <w:rsid w:val="00412CD0"/>
    <w:rsid w:val="00412D0D"/>
    <w:rsid w:val="0041301B"/>
    <w:rsid w:val="0041313B"/>
    <w:rsid w:val="0041393A"/>
    <w:rsid w:val="004145C4"/>
    <w:rsid w:val="004146A7"/>
    <w:rsid w:val="004153DC"/>
    <w:rsid w:val="004156DC"/>
    <w:rsid w:val="004158AA"/>
    <w:rsid w:val="004159DE"/>
    <w:rsid w:val="00416162"/>
    <w:rsid w:val="004162CD"/>
    <w:rsid w:val="00417070"/>
    <w:rsid w:val="004174C8"/>
    <w:rsid w:val="00417A59"/>
    <w:rsid w:val="004202F0"/>
    <w:rsid w:val="00420693"/>
    <w:rsid w:val="00420739"/>
    <w:rsid w:val="00420B43"/>
    <w:rsid w:val="00420F12"/>
    <w:rsid w:val="00420FFB"/>
    <w:rsid w:val="004211C3"/>
    <w:rsid w:val="0042162B"/>
    <w:rsid w:val="00421702"/>
    <w:rsid w:val="0042225E"/>
    <w:rsid w:val="00422864"/>
    <w:rsid w:val="00422C90"/>
    <w:rsid w:val="00422DBA"/>
    <w:rsid w:val="00422E40"/>
    <w:rsid w:val="00423261"/>
    <w:rsid w:val="004245BC"/>
    <w:rsid w:val="004246A8"/>
    <w:rsid w:val="00424A70"/>
    <w:rsid w:val="00425258"/>
    <w:rsid w:val="00425361"/>
    <w:rsid w:val="004258D6"/>
    <w:rsid w:val="00425A91"/>
    <w:rsid w:val="00425DF1"/>
    <w:rsid w:val="00426333"/>
    <w:rsid w:val="00426505"/>
    <w:rsid w:val="004267C1"/>
    <w:rsid w:val="00426AF7"/>
    <w:rsid w:val="00426DC3"/>
    <w:rsid w:val="00427084"/>
    <w:rsid w:val="004274CE"/>
    <w:rsid w:val="0042774C"/>
    <w:rsid w:val="004278F7"/>
    <w:rsid w:val="00427985"/>
    <w:rsid w:val="00427DB1"/>
    <w:rsid w:val="00427DD3"/>
    <w:rsid w:val="00427DD7"/>
    <w:rsid w:val="004301CE"/>
    <w:rsid w:val="00431306"/>
    <w:rsid w:val="00431EF7"/>
    <w:rsid w:val="00432801"/>
    <w:rsid w:val="00432D9F"/>
    <w:rsid w:val="0043308E"/>
    <w:rsid w:val="0043367F"/>
    <w:rsid w:val="0043368C"/>
    <w:rsid w:val="0043396D"/>
    <w:rsid w:val="00433A6B"/>
    <w:rsid w:val="00433DDE"/>
    <w:rsid w:val="00433E8B"/>
    <w:rsid w:val="00433F00"/>
    <w:rsid w:val="00433FC3"/>
    <w:rsid w:val="00434BDE"/>
    <w:rsid w:val="00434FFD"/>
    <w:rsid w:val="00435FF0"/>
    <w:rsid w:val="0043692C"/>
    <w:rsid w:val="00436A65"/>
    <w:rsid w:val="00436B84"/>
    <w:rsid w:val="00437219"/>
    <w:rsid w:val="00437573"/>
    <w:rsid w:val="00437FE2"/>
    <w:rsid w:val="00440256"/>
    <w:rsid w:val="00440505"/>
    <w:rsid w:val="00440D40"/>
    <w:rsid w:val="00440D98"/>
    <w:rsid w:val="00441309"/>
    <w:rsid w:val="004422A8"/>
    <w:rsid w:val="004433A4"/>
    <w:rsid w:val="00443C09"/>
    <w:rsid w:val="0044435E"/>
    <w:rsid w:val="00444412"/>
    <w:rsid w:val="00444735"/>
    <w:rsid w:val="00444819"/>
    <w:rsid w:val="004449CD"/>
    <w:rsid w:val="00444AF3"/>
    <w:rsid w:val="00444CE2"/>
    <w:rsid w:val="004456E0"/>
    <w:rsid w:val="00445CC5"/>
    <w:rsid w:val="004460BF"/>
    <w:rsid w:val="00447123"/>
    <w:rsid w:val="00447147"/>
    <w:rsid w:val="00447160"/>
    <w:rsid w:val="0044789F"/>
    <w:rsid w:val="0045011D"/>
    <w:rsid w:val="00450246"/>
    <w:rsid w:val="00450353"/>
    <w:rsid w:val="004506A7"/>
    <w:rsid w:val="0045098A"/>
    <w:rsid w:val="00450B03"/>
    <w:rsid w:val="004513B4"/>
    <w:rsid w:val="004514BE"/>
    <w:rsid w:val="00451A53"/>
    <w:rsid w:val="00451F91"/>
    <w:rsid w:val="0045259D"/>
    <w:rsid w:val="00452A21"/>
    <w:rsid w:val="00452C23"/>
    <w:rsid w:val="00452E59"/>
    <w:rsid w:val="00453215"/>
    <w:rsid w:val="004536E5"/>
    <w:rsid w:val="0045388D"/>
    <w:rsid w:val="00453952"/>
    <w:rsid w:val="00453EE0"/>
    <w:rsid w:val="004541FC"/>
    <w:rsid w:val="00454677"/>
    <w:rsid w:val="00454DB7"/>
    <w:rsid w:val="0045511D"/>
    <w:rsid w:val="00455512"/>
    <w:rsid w:val="004558C9"/>
    <w:rsid w:val="00455984"/>
    <w:rsid w:val="00455CCE"/>
    <w:rsid w:val="0045607E"/>
    <w:rsid w:val="00456432"/>
    <w:rsid w:val="00456853"/>
    <w:rsid w:val="0045697F"/>
    <w:rsid w:val="0045708A"/>
    <w:rsid w:val="0045768E"/>
    <w:rsid w:val="0045795D"/>
    <w:rsid w:val="00457A7D"/>
    <w:rsid w:val="00457C28"/>
    <w:rsid w:val="0046013D"/>
    <w:rsid w:val="00460D51"/>
    <w:rsid w:val="00460EEB"/>
    <w:rsid w:val="0046111F"/>
    <w:rsid w:val="0046217C"/>
    <w:rsid w:val="00462692"/>
    <w:rsid w:val="0046321B"/>
    <w:rsid w:val="0046399F"/>
    <w:rsid w:val="00463C77"/>
    <w:rsid w:val="00463D3D"/>
    <w:rsid w:val="00463EBB"/>
    <w:rsid w:val="004640FF"/>
    <w:rsid w:val="00464215"/>
    <w:rsid w:val="00464336"/>
    <w:rsid w:val="0046440B"/>
    <w:rsid w:val="00464EAA"/>
    <w:rsid w:val="00464EB9"/>
    <w:rsid w:val="00465809"/>
    <w:rsid w:val="00466AF3"/>
    <w:rsid w:val="00466FB5"/>
    <w:rsid w:val="004678FD"/>
    <w:rsid w:val="00467961"/>
    <w:rsid w:val="00467B83"/>
    <w:rsid w:val="00467D0F"/>
    <w:rsid w:val="0047035A"/>
    <w:rsid w:val="004703DF"/>
    <w:rsid w:val="00470BCF"/>
    <w:rsid w:val="004711EC"/>
    <w:rsid w:val="00471494"/>
    <w:rsid w:val="00471849"/>
    <w:rsid w:val="00471EF0"/>
    <w:rsid w:val="00472290"/>
    <w:rsid w:val="00472304"/>
    <w:rsid w:val="00472344"/>
    <w:rsid w:val="00472919"/>
    <w:rsid w:val="00472E65"/>
    <w:rsid w:val="0047309A"/>
    <w:rsid w:val="00473B08"/>
    <w:rsid w:val="00473B9B"/>
    <w:rsid w:val="00474235"/>
    <w:rsid w:val="00474426"/>
    <w:rsid w:val="00474AA3"/>
    <w:rsid w:val="00474B72"/>
    <w:rsid w:val="00474FA4"/>
    <w:rsid w:val="004750E3"/>
    <w:rsid w:val="00475C86"/>
    <w:rsid w:val="00475E05"/>
    <w:rsid w:val="004764C0"/>
    <w:rsid w:val="00476D3F"/>
    <w:rsid w:val="00476E41"/>
    <w:rsid w:val="0047714C"/>
    <w:rsid w:val="004775BC"/>
    <w:rsid w:val="00477735"/>
    <w:rsid w:val="00480083"/>
    <w:rsid w:val="00480272"/>
    <w:rsid w:val="00480456"/>
    <w:rsid w:val="00480472"/>
    <w:rsid w:val="00480508"/>
    <w:rsid w:val="00480A9E"/>
    <w:rsid w:val="00480DC4"/>
    <w:rsid w:val="00481501"/>
    <w:rsid w:val="00481C21"/>
    <w:rsid w:val="004825AB"/>
    <w:rsid w:val="004828CF"/>
    <w:rsid w:val="00482FE4"/>
    <w:rsid w:val="00483B25"/>
    <w:rsid w:val="00483BDD"/>
    <w:rsid w:val="00483BFA"/>
    <w:rsid w:val="004842EB"/>
    <w:rsid w:val="004849E8"/>
    <w:rsid w:val="00484E5A"/>
    <w:rsid w:val="0048535B"/>
    <w:rsid w:val="0048580D"/>
    <w:rsid w:val="00485BC4"/>
    <w:rsid w:val="00485C25"/>
    <w:rsid w:val="00485CC2"/>
    <w:rsid w:val="00485F83"/>
    <w:rsid w:val="00485FB8"/>
    <w:rsid w:val="0048648C"/>
    <w:rsid w:val="00486587"/>
    <w:rsid w:val="0048688A"/>
    <w:rsid w:val="00486BBF"/>
    <w:rsid w:val="00490002"/>
    <w:rsid w:val="0049025A"/>
    <w:rsid w:val="004902A2"/>
    <w:rsid w:val="004906D3"/>
    <w:rsid w:val="00490AAF"/>
    <w:rsid w:val="0049179A"/>
    <w:rsid w:val="004918F2"/>
    <w:rsid w:val="00491D97"/>
    <w:rsid w:val="004923B5"/>
    <w:rsid w:val="0049283E"/>
    <w:rsid w:val="00493121"/>
    <w:rsid w:val="004931E3"/>
    <w:rsid w:val="004933A9"/>
    <w:rsid w:val="00493A71"/>
    <w:rsid w:val="00493DEF"/>
    <w:rsid w:val="004946B6"/>
    <w:rsid w:val="00494ED3"/>
    <w:rsid w:val="0049567A"/>
    <w:rsid w:val="004956BE"/>
    <w:rsid w:val="00495990"/>
    <w:rsid w:val="00495C3E"/>
    <w:rsid w:val="0049672B"/>
    <w:rsid w:val="00497646"/>
    <w:rsid w:val="00497844"/>
    <w:rsid w:val="004A0AD1"/>
    <w:rsid w:val="004A0E7B"/>
    <w:rsid w:val="004A116A"/>
    <w:rsid w:val="004A11D5"/>
    <w:rsid w:val="004A14F6"/>
    <w:rsid w:val="004A1AA4"/>
    <w:rsid w:val="004A21D8"/>
    <w:rsid w:val="004A2473"/>
    <w:rsid w:val="004A29D3"/>
    <w:rsid w:val="004A2CC2"/>
    <w:rsid w:val="004A375B"/>
    <w:rsid w:val="004A449D"/>
    <w:rsid w:val="004A4577"/>
    <w:rsid w:val="004A4A80"/>
    <w:rsid w:val="004A4CD5"/>
    <w:rsid w:val="004A4D73"/>
    <w:rsid w:val="004A54CD"/>
    <w:rsid w:val="004A588D"/>
    <w:rsid w:val="004A5BAD"/>
    <w:rsid w:val="004A60B3"/>
    <w:rsid w:val="004A6940"/>
    <w:rsid w:val="004A6D7B"/>
    <w:rsid w:val="004A705C"/>
    <w:rsid w:val="004A7604"/>
    <w:rsid w:val="004A790C"/>
    <w:rsid w:val="004A7CA4"/>
    <w:rsid w:val="004A7DD2"/>
    <w:rsid w:val="004B01BE"/>
    <w:rsid w:val="004B13B0"/>
    <w:rsid w:val="004B18DA"/>
    <w:rsid w:val="004B1DBE"/>
    <w:rsid w:val="004B2210"/>
    <w:rsid w:val="004B2330"/>
    <w:rsid w:val="004B2B2D"/>
    <w:rsid w:val="004B2DCB"/>
    <w:rsid w:val="004B2E1A"/>
    <w:rsid w:val="004B36AF"/>
    <w:rsid w:val="004B36CF"/>
    <w:rsid w:val="004B38D9"/>
    <w:rsid w:val="004B3D5C"/>
    <w:rsid w:val="004B44ED"/>
    <w:rsid w:val="004B47A8"/>
    <w:rsid w:val="004B49EE"/>
    <w:rsid w:val="004B4C81"/>
    <w:rsid w:val="004B4E70"/>
    <w:rsid w:val="004B5181"/>
    <w:rsid w:val="004B557F"/>
    <w:rsid w:val="004B5FF5"/>
    <w:rsid w:val="004B6EDF"/>
    <w:rsid w:val="004B779F"/>
    <w:rsid w:val="004B795D"/>
    <w:rsid w:val="004C0C0E"/>
    <w:rsid w:val="004C0CAB"/>
    <w:rsid w:val="004C0E90"/>
    <w:rsid w:val="004C22D2"/>
    <w:rsid w:val="004C2C49"/>
    <w:rsid w:val="004C37F7"/>
    <w:rsid w:val="004C409D"/>
    <w:rsid w:val="004C413B"/>
    <w:rsid w:val="004C4465"/>
    <w:rsid w:val="004C4474"/>
    <w:rsid w:val="004C4737"/>
    <w:rsid w:val="004C4E37"/>
    <w:rsid w:val="004C529A"/>
    <w:rsid w:val="004C5382"/>
    <w:rsid w:val="004C54C2"/>
    <w:rsid w:val="004C55DB"/>
    <w:rsid w:val="004C5C22"/>
    <w:rsid w:val="004C6302"/>
    <w:rsid w:val="004C65D8"/>
    <w:rsid w:val="004C6B43"/>
    <w:rsid w:val="004C71FF"/>
    <w:rsid w:val="004C724D"/>
    <w:rsid w:val="004C7348"/>
    <w:rsid w:val="004C742E"/>
    <w:rsid w:val="004C769E"/>
    <w:rsid w:val="004D09B4"/>
    <w:rsid w:val="004D16EC"/>
    <w:rsid w:val="004D2280"/>
    <w:rsid w:val="004D22C9"/>
    <w:rsid w:val="004D2926"/>
    <w:rsid w:val="004D29B7"/>
    <w:rsid w:val="004D2A6B"/>
    <w:rsid w:val="004D4139"/>
    <w:rsid w:val="004D45A5"/>
    <w:rsid w:val="004D4C7D"/>
    <w:rsid w:val="004D53C4"/>
    <w:rsid w:val="004D5A2E"/>
    <w:rsid w:val="004D5EF1"/>
    <w:rsid w:val="004D65AC"/>
    <w:rsid w:val="004D6B1A"/>
    <w:rsid w:val="004D6C51"/>
    <w:rsid w:val="004D6D9B"/>
    <w:rsid w:val="004D70ED"/>
    <w:rsid w:val="004D7330"/>
    <w:rsid w:val="004D78A6"/>
    <w:rsid w:val="004D7AAD"/>
    <w:rsid w:val="004E03C6"/>
    <w:rsid w:val="004E0BBA"/>
    <w:rsid w:val="004E0D78"/>
    <w:rsid w:val="004E23BF"/>
    <w:rsid w:val="004E2404"/>
    <w:rsid w:val="004E2DFE"/>
    <w:rsid w:val="004E3432"/>
    <w:rsid w:val="004E3926"/>
    <w:rsid w:val="004E3A5A"/>
    <w:rsid w:val="004E44AE"/>
    <w:rsid w:val="004E4A36"/>
    <w:rsid w:val="004E4CEA"/>
    <w:rsid w:val="004E5052"/>
    <w:rsid w:val="004E509D"/>
    <w:rsid w:val="004E5458"/>
    <w:rsid w:val="004E55D3"/>
    <w:rsid w:val="004E5993"/>
    <w:rsid w:val="004E5E56"/>
    <w:rsid w:val="004E5E95"/>
    <w:rsid w:val="004E6986"/>
    <w:rsid w:val="004E75AE"/>
    <w:rsid w:val="004E7AC0"/>
    <w:rsid w:val="004E7DAA"/>
    <w:rsid w:val="004F011C"/>
    <w:rsid w:val="004F10AC"/>
    <w:rsid w:val="004F1169"/>
    <w:rsid w:val="004F1253"/>
    <w:rsid w:val="004F1761"/>
    <w:rsid w:val="004F1EA1"/>
    <w:rsid w:val="004F1F95"/>
    <w:rsid w:val="004F2087"/>
    <w:rsid w:val="004F24EC"/>
    <w:rsid w:val="004F25A9"/>
    <w:rsid w:val="004F489E"/>
    <w:rsid w:val="004F490D"/>
    <w:rsid w:val="004F4B94"/>
    <w:rsid w:val="004F4BCC"/>
    <w:rsid w:val="004F4D4F"/>
    <w:rsid w:val="004F5F3E"/>
    <w:rsid w:val="004F6202"/>
    <w:rsid w:val="004F641C"/>
    <w:rsid w:val="004F65DC"/>
    <w:rsid w:val="004F7012"/>
    <w:rsid w:val="004F7189"/>
    <w:rsid w:val="004F737A"/>
    <w:rsid w:val="004F7436"/>
    <w:rsid w:val="004F794E"/>
    <w:rsid w:val="004F7CFB"/>
    <w:rsid w:val="005004FF"/>
    <w:rsid w:val="00500AE1"/>
    <w:rsid w:val="00501317"/>
    <w:rsid w:val="0050167E"/>
    <w:rsid w:val="005016A5"/>
    <w:rsid w:val="00502188"/>
    <w:rsid w:val="005021EC"/>
    <w:rsid w:val="005024DF"/>
    <w:rsid w:val="00502612"/>
    <w:rsid w:val="00503747"/>
    <w:rsid w:val="005038C0"/>
    <w:rsid w:val="00503B07"/>
    <w:rsid w:val="0050412C"/>
    <w:rsid w:val="00504134"/>
    <w:rsid w:val="005041A2"/>
    <w:rsid w:val="00504456"/>
    <w:rsid w:val="00504822"/>
    <w:rsid w:val="00505218"/>
    <w:rsid w:val="00505B80"/>
    <w:rsid w:val="00505F2C"/>
    <w:rsid w:val="00506082"/>
    <w:rsid w:val="00506300"/>
    <w:rsid w:val="00506559"/>
    <w:rsid w:val="00507862"/>
    <w:rsid w:val="005079E5"/>
    <w:rsid w:val="005104EF"/>
    <w:rsid w:val="005105B9"/>
    <w:rsid w:val="00510A7F"/>
    <w:rsid w:val="00510BCB"/>
    <w:rsid w:val="00510BF5"/>
    <w:rsid w:val="00510CE4"/>
    <w:rsid w:val="00511066"/>
    <w:rsid w:val="00511280"/>
    <w:rsid w:val="00511310"/>
    <w:rsid w:val="00511895"/>
    <w:rsid w:val="00511FE8"/>
    <w:rsid w:val="00512257"/>
    <w:rsid w:val="00512460"/>
    <w:rsid w:val="00512A5A"/>
    <w:rsid w:val="00512E3B"/>
    <w:rsid w:val="0051310C"/>
    <w:rsid w:val="0051399C"/>
    <w:rsid w:val="00513D93"/>
    <w:rsid w:val="00513E5C"/>
    <w:rsid w:val="0051414F"/>
    <w:rsid w:val="00514FFE"/>
    <w:rsid w:val="00515451"/>
    <w:rsid w:val="0051566C"/>
    <w:rsid w:val="00515D47"/>
    <w:rsid w:val="00516D96"/>
    <w:rsid w:val="00517011"/>
    <w:rsid w:val="00517D0D"/>
    <w:rsid w:val="00517DA5"/>
    <w:rsid w:val="0052008C"/>
    <w:rsid w:val="00520CCF"/>
    <w:rsid w:val="00521164"/>
    <w:rsid w:val="00521E61"/>
    <w:rsid w:val="00522488"/>
    <w:rsid w:val="005231F7"/>
    <w:rsid w:val="005232DC"/>
    <w:rsid w:val="00523B32"/>
    <w:rsid w:val="005243B4"/>
    <w:rsid w:val="00524499"/>
    <w:rsid w:val="0052468E"/>
    <w:rsid w:val="00525D50"/>
    <w:rsid w:val="00525FFE"/>
    <w:rsid w:val="00526187"/>
    <w:rsid w:val="0052625B"/>
    <w:rsid w:val="00526B6F"/>
    <w:rsid w:val="00526CD0"/>
    <w:rsid w:val="00527113"/>
    <w:rsid w:val="0052718B"/>
    <w:rsid w:val="005271F4"/>
    <w:rsid w:val="005278B9"/>
    <w:rsid w:val="005278F2"/>
    <w:rsid w:val="00527C97"/>
    <w:rsid w:val="00530417"/>
    <w:rsid w:val="00530577"/>
    <w:rsid w:val="00530671"/>
    <w:rsid w:val="00530946"/>
    <w:rsid w:val="00530E40"/>
    <w:rsid w:val="00530F63"/>
    <w:rsid w:val="00530F6E"/>
    <w:rsid w:val="00531656"/>
    <w:rsid w:val="00531C05"/>
    <w:rsid w:val="00532680"/>
    <w:rsid w:val="0053282A"/>
    <w:rsid w:val="00532B53"/>
    <w:rsid w:val="0053383B"/>
    <w:rsid w:val="00533873"/>
    <w:rsid w:val="005338FF"/>
    <w:rsid w:val="00533E6E"/>
    <w:rsid w:val="00534E5A"/>
    <w:rsid w:val="00534F9B"/>
    <w:rsid w:val="00535054"/>
    <w:rsid w:val="0053556E"/>
    <w:rsid w:val="005355CF"/>
    <w:rsid w:val="00535840"/>
    <w:rsid w:val="00535BD6"/>
    <w:rsid w:val="00535E6E"/>
    <w:rsid w:val="00536417"/>
    <w:rsid w:val="00536C45"/>
    <w:rsid w:val="00540282"/>
    <w:rsid w:val="005405D1"/>
    <w:rsid w:val="00541168"/>
    <w:rsid w:val="00542274"/>
    <w:rsid w:val="0054233F"/>
    <w:rsid w:val="00542533"/>
    <w:rsid w:val="005429A7"/>
    <w:rsid w:val="00542C4F"/>
    <w:rsid w:val="005438C2"/>
    <w:rsid w:val="0054455D"/>
    <w:rsid w:val="00544639"/>
    <w:rsid w:val="00545C9E"/>
    <w:rsid w:val="0054626C"/>
    <w:rsid w:val="0054650E"/>
    <w:rsid w:val="0054654B"/>
    <w:rsid w:val="005467EC"/>
    <w:rsid w:val="00547104"/>
    <w:rsid w:val="00547397"/>
    <w:rsid w:val="005475C9"/>
    <w:rsid w:val="00547D48"/>
    <w:rsid w:val="00550075"/>
    <w:rsid w:val="005505AD"/>
    <w:rsid w:val="00550B6E"/>
    <w:rsid w:val="00550C56"/>
    <w:rsid w:val="00550EBB"/>
    <w:rsid w:val="00551B5D"/>
    <w:rsid w:val="00551CBF"/>
    <w:rsid w:val="005522A5"/>
    <w:rsid w:val="00552E51"/>
    <w:rsid w:val="00553181"/>
    <w:rsid w:val="0055333B"/>
    <w:rsid w:val="00553F9E"/>
    <w:rsid w:val="0055462C"/>
    <w:rsid w:val="00554B5F"/>
    <w:rsid w:val="00555406"/>
    <w:rsid w:val="00555713"/>
    <w:rsid w:val="00556501"/>
    <w:rsid w:val="00556F71"/>
    <w:rsid w:val="0055748E"/>
    <w:rsid w:val="00557AF7"/>
    <w:rsid w:val="00557D63"/>
    <w:rsid w:val="005604F9"/>
    <w:rsid w:val="00560BC6"/>
    <w:rsid w:val="00561062"/>
    <w:rsid w:val="00561F7A"/>
    <w:rsid w:val="005626B1"/>
    <w:rsid w:val="00563DD8"/>
    <w:rsid w:val="00564121"/>
    <w:rsid w:val="005655A4"/>
    <w:rsid w:val="0056588F"/>
    <w:rsid w:val="00566E7C"/>
    <w:rsid w:val="00566FEA"/>
    <w:rsid w:val="0056764D"/>
    <w:rsid w:val="00567914"/>
    <w:rsid w:val="00567D41"/>
    <w:rsid w:val="00567D9E"/>
    <w:rsid w:val="0057005C"/>
    <w:rsid w:val="0057049F"/>
    <w:rsid w:val="00570CD4"/>
    <w:rsid w:val="00570F5E"/>
    <w:rsid w:val="005711DA"/>
    <w:rsid w:val="0057150F"/>
    <w:rsid w:val="00572613"/>
    <w:rsid w:val="00572E54"/>
    <w:rsid w:val="00572ED4"/>
    <w:rsid w:val="00573863"/>
    <w:rsid w:val="00573E63"/>
    <w:rsid w:val="0057401F"/>
    <w:rsid w:val="0057453A"/>
    <w:rsid w:val="00574D55"/>
    <w:rsid w:val="00575505"/>
    <w:rsid w:val="0057573E"/>
    <w:rsid w:val="00575B28"/>
    <w:rsid w:val="005761CE"/>
    <w:rsid w:val="005764AD"/>
    <w:rsid w:val="00576B4B"/>
    <w:rsid w:val="00576BC4"/>
    <w:rsid w:val="00576C94"/>
    <w:rsid w:val="00576F7F"/>
    <w:rsid w:val="00577480"/>
    <w:rsid w:val="0057773E"/>
    <w:rsid w:val="005778C3"/>
    <w:rsid w:val="00577F55"/>
    <w:rsid w:val="00580097"/>
    <w:rsid w:val="005807D2"/>
    <w:rsid w:val="0058098B"/>
    <w:rsid w:val="00580A63"/>
    <w:rsid w:val="0058100D"/>
    <w:rsid w:val="005811B9"/>
    <w:rsid w:val="00581295"/>
    <w:rsid w:val="005813FF"/>
    <w:rsid w:val="0058145E"/>
    <w:rsid w:val="00583519"/>
    <w:rsid w:val="00583730"/>
    <w:rsid w:val="00583D04"/>
    <w:rsid w:val="005840CF"/>
    <w:rsid w:val="00584D60"/>
    <w:rsid w:val="00584FF0"/>
    <w:rsid w:val="00585162"/>
    <w:rsid w:val="0058557B"/>
    <w:rsid w:val="0058572D"/>
    <w:rsid w:val="005866A5"/>
    <w:rsid w:val="00586A06"/>
    <w:rsid w:val="00586DEE"/>
    <w:rsid w:val="00586E29"/>
    <w:rsid w:val="0058703F"/>
    <w:rsid w:val="0058758D"/>
    <w:rsid w:val="005878E3"/>
    <w:rsid w:val="00590584"/>
    <w:rsid w:val="00590734"/>
    <w:rsid w:val="005907A8"/>
    <w:rsid w:val="00591620"/>
    <w:rsid w:val="00591AC2"/>
    <w:rsid w:val="00591E43"/>
    <w:rsid w:val="00592389"/>
    <w:rsid w:val="0059241D"/>
    <w:rsid w:val="005925EB"/>
    <w:rsid w:val="00592A7E"/>
    <w:rsid w:val="00592E7D"/>
    <w:rsid w:val="005945B0"/>
    <w:rsid w:val="00594747"/>
    <w:rsid w:val="005954E9"/>
    <w:rsid w:val="00595D78"/>
    <w:rsid w:val="00595F66"/>
    <w:rsid w:val="005962F8"/>
    <w:rsid w:val="005963D3"/>
    <w:rsid w:val="0059665D"/>
    <w:rsid w:val="0059707E"/>
    <w:rsid w:val="005972A8"/>
    <w:rsid w:val="005A0112"/>
    <w:rsid w:val="005A0195"/>
    <w:rsid w:val="005A01DE"/>
    <w:rsid w:val="005A08F5"/>
    <w:rsid w:val="005A0D7E"/>
    <w:rsid w:val="005A0FFB"/>
    <w:rsid w:val="005A146D"/>
    <w:rsid w:val="005A194F"/>
    <w:rsid w:val="005A1A5B"/>
    <w:rsid w:val="005A1EFD"/>
    <w:rsid w:val="005A1FB2"/>
    <w:rsid w:val="005A292E"/>
    <w:rsid w:val="005A2CA7"/>
    <w:rsid w:val="005A3542"/>
    <w:rsid w:val="005A3567"/>
    <w:rsid w:val="005A38D0"/>
    <w:rsid w:val="005A3F11"/>
    <w:rsid w:val="005A415A"/>
    <w:rsid w:val="005A4832"/>
    <w:rsid w:val="005A4891"/>
    <w:rsid w:val="005A5401"/>
    <w:rsid w:val="005A5B09"/>
    <w:rsid w:val="005A5DC2"/>
    <w:rsid w:val="005A5EC2"/>
    <w:rsid w:val="005A6241"/>
    <w:rsid w:val="005A6DF4"/>
    <w:rsid w:val="005A71E8"/>
    <w:rsid w:val="005A72F1"/>
    <w:rsid w:val="005A76E8"/>
    <w:rsid w:val="005A7C17"/>
    <w:rsid w:val="005A7CB3"/>
    <w:rsid w:val="005A7F64"/>
    <w:rsid w:val="005A7FEC"/>
    <w:rsid w:val="005B007C"/>
    <w:rsid w:val="005B0195"/>
    <w:rsid w:val="005B01C5"/>
    <w:rsid w:val="005B03F7"/>
    <w:rsid w:val="005B11C9"/>
    <w:rsid w:val="005B1815"/>
    <w:rsid w:val="005B1A90"/>
    <w:rsid w:val="005B1C94"/>
    <w:rsid w:val="005B2176"/>
    <w:rsid w:val="005B22D2"/>
    <w:rsid w:val="005B257F"/>
    <w:rsid w:val="005B3472"/>
    <w:rsid w:val="005B3F0F"/>
    <w:rsid w:val="005B408B"/>
    <w:rsid w:val="005B42FC"/>
    <w:rsid w:val="005B43BB"/>
    <w:rsid w:val="005B4565"/>
    <w:rsid w:val="005B4AE6"/>
    <w:rsid w:val="005B4EB1"/>
    <w:rsid w:val="005B4F2D"/>
    <w:rsid w:val="005B5318"/>
    <w:rsid w:val="005B5536"/>
    <w:rsid w:val="005B5E49"/>
    <w:rsid w:val="005B5F08"/>
    <w:rsid w:val="005B6A9C"/>
    <w:rsid w:val="005B6C14"/>
    <w:rsid w:val="005B6F4A"/>
    <w:rsid w:val="005B7453"/>
    <w:rsid w:val="005B7704"/>
    <w:rsid w:val="005C03A4"/>
    <w:rsid w:val="005C044A"/>
    <w:rsid w:val="005C0A44"/>
    <w:rsid w:val="005C0D04"/>
    <w:rsid w:val="005C1A42"/>
    <w:rsid w:val="005C23B0"/>
    <w:rsid w:val="005C266F"/>
    <w:rsid w:val="005C2AE0"/>
    <w:rsid w:val="005C2BCD"/>
    <w:rsid w:val="005C32E3"/>
    <w:rsid w:val="005C38B0"/>
    <w:rsid w:val="005C4DF9"/>
    <w:rsid w:val="005C4E27"/>
    <w:rsid w:val="005C52EB"/>
    <w:rsid w:val="005C5787"/>
    <w:rsid w:val="005C5A6C"/>
    <w:rsid w:val="005C5B94"/>
    <w:rsid w:val="005C5BDA"/>
    <w:rsid w:val="005C613B"/>
    <w:rsid w:val="005C6329"/>
    <w:rsid w:val="005C63BC"/>
    <w:rsid w:val="005C69E9"/>
    <w:rsid w:val="005C7D53"/>
    <w:rsid w:val="005D00A4"/>
    <w:rsid w:val="005D052D"/>
    <w:rsid w:val="005D0B5A"/>
    <w:rsid w:val="005D10DF"/>
    <w:rsid w:val="005D11D4"/>
    <w:rsid w:val="005D130A"/>
    <w:rsid w:val="005D16A5"/>
    <w:rsid w:val="005D16F4"/>
    <w:rsid w:val="005D19DA"/>
    <w:rsid w:val="005D1B60"/>
    <w:rsid w:val="005D1C11"/>
    <w:rsid w:val="005D1FFD"/>
    <w:rsid w:val="005D205F"/>
    <w:rsid w:val="005D256F"/>
    <w:rsid w:val="005D2679"/>
    <w:rsid w:val="005D27D4"/>
    <w:rsid w:val="005D2A85"/>
    <w:rsid w:val="005D3AD8"/>
    <w:rsid w:val="005D3D0A"/>
    <w:rsid w:val="005D3E47"/>
    <w:rsid w:val="005D3EC7"/>
    <w:rsid w:val="005D49FB"/>
    <w:rsid w:val="005D4F8E"/>
    <w:rsid w:val="005D5058"/>
    <w:rsid w:val="005D5467"/>
    <w:rsid w:val="005D5471"/>
    <w:rsid w:val="005D59FC"/>
    <w:rsid w:val="005D5EB6"/>
    <w:rsid w:val="005D62DD"/>
    <w:rsid w:val="005D6368"/>
    <w:rsid w:val="005D660F"/>
    <w:rsid w:val="005D6B36"/>
    <w:rsid w:val="005D6EE9"/>
    <w:rsid w:val="005D70ED"/>
    <w:rsid w:val="005D7FEA"/>
    <w:rsid w:val="005E0967"/>
    <w:rsid w:val="005E0979"/>
    <w:rsid w:val="005E0BC3"/>
    <w:rsid w:val="005E16E7"/>
    <w:rsid w:val="005E287D"/>
    <w:rsid w:val="005E2948"/>
    <w:rsid w:val="005E2B10"/>
    <w:rsid w:val="005E34E4"/>
    <w:rsid w:val="005E3683"/>
    <w:rsid w:val="005E3E6A"/>
    <w:rsid w:val="005E3EFF"/>
    <w:rsid w:val="005E3F42"/>
    <w:rsid w:val="005E3F61"/>
    <w:rsid w:val="005E3FA2"/>
    <w:rsid w:val="005E4995"/>
    <w:rsid w:val="005E6888"/>
    <w:rsid w:val="005E6DDD"/>
    <w:rsid w:val="005E7514"/>
    <w:rsid w:val="005F00D0"/>
    <w:rsid w:val="005F0AD2"/>
    <w:rsid w:val="005F11D6"/>
    <w:rsid w:val="005F21AB"/>
    <w:rsid w:val="005F2432"/>
    <w:rsid w:val="005F275C"/>
    <w:rsid w:val="005F2941"/>
    <w:rsid w:val="005F32FA"/>
    <w:rsid w:val="005F381B"/>
    <w:rsid w:val="005F389E"/>
    <w:rsid w:val="005F38AC"/>
    <w:rsid w:val="005F3A27"/>
    <w:rsid w:val="005F3DE1"/>
    <w:rsid w:val="005F3FE8"/>
    <w:rsid w:val="005F4A9C"/>
    <w:rsid w:val="005F4BD3"/>
    <w:rsid w:val="005F4D16"/>
    <w:rsid w:val="005F59CA"/>
    <w:rsid w:val="005F5AEF"/>
    <w:rsid w:val="005F664D"/>
    <w:rsid w:val="005F67D8"/>
    <w:rsid w:val="005F6EB9"/>
    <w:rsid w:val="005F72EC"/>
    <w:rsid w:val="005F780C"/>
    <w:rsid w:val="005F7C29"/>
    <w:rsid w:val="005F7EEB"/>
    <w:rsid w:val="006008BA"/>
    <w:rsid w:val="006009AC"/>
    <w:rsid w:val="00600D10"/>
    <w:rsid w:val="006012AA"/>
    <w:rsid w:val="00601646"/>
    <w:rsid w:val="00601851"/>
    <w:rsid w:val="006018AC"/>
    <w:rsid w:val="00602294"/>
    <w:rsid w:val="00602722"/>
    <w:rsid w:val="00602DD2"/>
    <w:rsid w:val="00603438"/>
    <w:rsid w:val="0060395D"/>
    <w:rsid w:val="00603F38"/>
    <w:rsid w:val="00603FA1"/>
    <w:rsid w:val="00604E86"/>
    <w:rsid w:val="00604F00"/>
    <w:rsid w:val="0060532C"/>
    <w:rsid w:val="006074BD"/>
    <w:rsid w:val="00607539"/>
    <w:rsid w:val="00607D48"/>
    <w:rsid w:val="00607E9A"/>
    <w:rsid w:val="00610BE0"/>
    <w:rsid w:val="00610E6A"/>
    <w:rsid w:val="0061109B"/>
    <w:rsid w:val="006119D6"/>
    <w:rsid w:val="00611B9F"/>
    <w:rsid w:val="00612224"/>
    <w:rsid w:val="006123ED"/>
    <w:rsid w:val="00612414"/>
    <w:rsid w:val="00612534"/>
    <w:rsid w:val="00612C17"/>
    <w:rsid w:val="00613761"/>
    <w:rsid w:val="00613CA6"/>
    <w:rsid w:val="00613D00"/>
    <w:rsid w:val="00613EFE"/>
    <w:rsid w:val="0061464A"/>
    <w:rsid w:val="00614889"/>
    <w:rsid w:val="00614D42"/>
    <w:rsid w:val="0061587E"/>
    <w:rsid w:val="00615C16"/>
    <w:rsid w:val="00615D50"/>
    <w:rsid w:val="00616658"/>
    <w:rsid w:val="0061668B"/>
    <w:rsid w:val="006174C6"/>
    <w:rsid w:val="006202DC"/>
    <w:rsid w:val="006203A0"/>
    <w:rsid w:val="00620CCB"/>
    <w:rsid w:val="00621405"/>
    <w:rsid w:val="00621586"/>
    <w:rsid w:val="00621968"/>
    <w:rsid w:val="006227B7"/>
    <w:rsid w:val="00622827"/>
    <w:rsid w:val="006229BA"/>
    <w:rsid w:val="00622A8E"/>
    <w:rsid w:val="006231FD"/>
    <w:rsid w:val="00623F68"/>
    <w:rsid w:val="00624C74"/>
    <w:rsid w:val="00624D4B"/>
    <w:rsid w:val="006250CB"/>
    <w:rsid w:val="00625393"/>
    <w:rsid w:val="006253DD"/>
    <w:rsid w:val="00625417"/>
    <w:rsid w:val="0062580A"/>
    <w:rsid w:val="00627671"/>
    <w:rsid w:val="00627717"/>
    <w:rsid w:val="00627746"/>
    <w:rsid w:val="0063011D"/>
    <w:rsid w:val="00630121"/>
    <w:rsid w:val="006302D7"/>
    <w:rsid w:val="006302FD"/>
    <w:rsid w:val="00630879"/>
    <w:rsid w:val="0063099C"/>
    <w:rsid w:val="00630C11"/>
    <w:rsid w:val="00631E03"/>
    <w:rsid w:val="006323F2"/>
    <w:rsid w:val="00632509"/>
    <w:rsid w:val="0063265A"/>
    <w:rsid w:val="00632BA0"/>
    <w:rsid w:val="006331CF"/>
    <w:rsid w:val="00633281"/>
    <w:rsid w:val="006335B5"/>
    <w:rsid w:val="0063378D"/>
    <w:rsid w:val="006337F2"/>
    <w:rsid w:val="006338F8"/>
    <w:rsid w:val="006339F5"/>
    <w:rsid w:val="00633B52"/>
    <w:rsid w:val="00633E8C"/>
    <w:rsid w:val="00633EC0"/>
    <w:rsid w:val="00633F96"/>
    <w:rsid w:val="00634525"/>
    <w:rsid w:val="00634687"/>
    <w:rsid w:val="006349C1"/>
    <w:rsid w:val="00634BD0"/>
    <w:rsid w:val="006354FB"/>
    <w:rsid w:val="00635905"/>
    <w:rsid w:val="00635ACC"/>
    <w:rsid w:val="00635B8F"/>
    <w:rsid w:val="00636082"/>
    <w:rsid w:val="00636607"/>
    <w:rsid w:val="00636980"/>
    <w:rsid w:val="006376DD"/>
    <w:rsid w:val="006401F5"/>
    <w:rsid w:val="006402B3"/>
    <w:rsid w:val="006405C6"/>
    <w:rsid w:val="0064077B"/>
    <w:rsid w:val="006413C5"/>
    <w:rsid w:val="0064168B"/>
    <w:rsid w:val="00641EA6"/>
    <w:rsid w:val="006425E4"/>
    <w:rsid w:val="00642848"/>
    <w:rsid w:val="00642D0F"/>
    <w:rsid w:val="0064324C"/>
    <w:rsid w:val="006434F1"/>
    <w:rsid w:val="00643C47"/>
    <w:rsid w:val="00643DF6"/>
    <w:rsid w:val="0064436B"/>
    <w:rsid w:val="006448AD"/>
    <w:rsid w:val="00645B8B"/>
    <w:rsid w:val="00645BA1"/>
    <w:rsid w:val="00646036"/>
    <w:rsid w:val="006461AC"/>
    <w:rsid w:val="0064666F"/>
    <w:rsid w:val="00646790"/>
    <w:rsid w:val="00646A64"/>
    <w:rsid w:val="00646D57"/>
    <w:rsid w:val="00646F5F"/>
    <w:rsid w:val="00646FE8"/>
    <w:rsid w:val="006470D0"/>
    <w:rsid w:val="00647E5A"/>
    <w:rsid w:val="00650036"/>
    <w:rsid w:val="006500E5"/>
    <w:rsid w:val="00650246"/>
    <w:rsid w:val="006509B5"/>
    <w:rsid w:val="006509F7"/>
    <w:rsid w:val="00650B9B"/>
    <w:rsid w:val="006520CC"/>
    <w:rsid w:val="006522C1"/>
    <w:rsid w:val="00652663"/>
    <w:rsid w:val="0065298C"/>
    <w:rsid w:val="00652A7F"/>
    <w:rsid w:val="00652CEC"/>
    <w:rsid w:val="006544B5"/>
    <w:rsid w:val="006547C2"/>
    <w:rsid w:val="00654E24"/>
    <w:rsid w:val="00654FD3"/>
    <w:rsid w:val="00655166"/>
    <w:rsid w:val="00655A9F"/>
    <w:rsid w:val="00655EC0"/>
    <w:rsid w:val="0065601B"/>
    <w:rsid w:val="0065653D"/>
    <w:rsid w:val="00656EBA"/>
    <w:rsid w:val="00657042"/>
    <w:rsid w:val="00657176"/>
    <w:rsid w:val="00657199"/>
    <w:rsid w:val="00657613"/>
    <w:rsid w:val="006606EA"/>
    <w:rsid w:val="00660AA1"/>
    <w:rsid w:val="00660AE9"/>
    <w:rsid w:val="00661D92"/>
    <w:rsid w:val="006622F4"/>
    <w:rsid w:val="00663339"/>
    <w:rsid w:val="00663706"/>
    <w:rsid w:val="0066393E"/>
    <w:rsid w:val="00663CA6"/>
    <w:rsid w:val="00663EF5"/>
    <w:rsid w:val="00663FA6"/>
    <w:rsid w:val="00664516"/>
    <w:rsid w:val="0066483A"/>
    <w:rsid w:val="00664B95"/>
    <w:rsid w:val="00664DF9"/>
    <w:rsid w:val="00664E65"/>
    <w:rsid w:val="00664FCE"/>
    <w:rsid w:val="0066521D"/>
    <w:rsid w:val="006658DF"/>
    <w:rsid w:val="00667AFE"/>
    <w:rsid w:val="00667E34"/>
    <w:rsid w:val="006700A7"/>
    <w:rsid w:val="006705DC"/>
    <w:rsid w:val="00670F27"/>
    <w:rsid w:val="00670FDE"/>
    <w:rsid w:val="00671159"/>
    <w:rsid w:val="00671176"/>
    <w:rsid w:val="006717EA"/>
    <w:rsid w:val="00671FBD"/>
    <w:rsid w:val="006722BE"/>
    <w:rsid w:val="0067251F"/>
    <w:rsid w:val="00673B7C"/>
    <w:rsid w:val="00673C4C"/>
    <w:rsid w:val="006744FB"/>
    <w:rsid w:val="00674BA4"/>
    <w:rsid w:val="00674F78"/>
    <w:rsid w:val="00675421"/>
    <w:rsid w:val="00675521"/>
    <w:rsid w:val="00675B4C"/>
    <w:rsid w:val="00675B84"/>
    <w:rsid w:val="00675F0D"/>
    <w:rsid w:val="00676330"/>
    <w:rsid w:val="0067636A"/>
    <w:rsid w:val="00676F42"/>
    <w:rsid w:val="00676FE2"/>
    <w:rsid w:val="0067799B"/>
    <w:rsid w:val="00677F7B"/>
    <w:rsid w:val="00680CB2"/>
    <w:rsid w:val="00680E54"/>
    <w:rsid w:val="00681464"/>
    <w:rsid w:val="00681583"/>
    <w:rsid w:val="00681B15"/>
    <w:rsid w:val="00682107"/>
    <w:rsid w:val="006823CD"/>
    <w:rsid w:val="0068258F"/>
    <w:rsid w:val="0068367C"/>
    <w:rsid w:val="00683F58"/>
    <w:rsid w:val="006844A8"/>
    <w:rsid w:val="0068473D"/>
    <w:rsid w:val="0068487D"/>
    <w:rsid w:val="00684F7B"/>
    <w:rsid w:val="0068571B"/>
    <w:rsid w:val="00685D8C"/>
    <w:rsid w:val="00686AA4"/>
    <w:rsid w:val="0068744A"/>
    <w:rsid w:val="00687528"/>
    <w:rsid w:val="00687614"/>
    <w:rsid w:val="00687FCA"/>
    <w:rsid w:val="00690707"/>
    <w:rsid w:val="00690D7F"/>
    <w:rsid w:val="00690E68"/>
    <w:rsid w:val="0069147E"/>
    <w:rsid w:val="00691913"/>
    <w:rsid w:val="00691E43"/>
    <w:rsid w:val="0069220C"/>
    <w:rsid w:val="00692291"/>
    <w:rsid w:val="006923D7"/>
    <w:rsid w:val="00692501"/>
    <w:rsid w:val="006927BD"/>
    <w:rsid w:val="00692D61"/>
    <w:rsid w:val="00692E31"/>
    <w:rsid w:val="00692FD5"/>
    <w:rsid w:val="006934D4"/>
    <w:rsid w:val="006934FB"/>
    <w:rsid w:val="00693689"/>
    <w:rsid w:val="006937EE"/>
    <w:rsid w:val="00693E5B"/>
    <w:rsid w:val="006947BC"/>
    <w:rsid w:val="00694CB3"/>
    <w:rsid w:val="00694F7C"/>
    <w:rsid w:val="00695231"/>
    <w:rsid w:val="0069580A"/>
    <w:rsid w:val="006959BD"/>
    <w:rsid w:val="00695BC1"/>
    <w:rsid w:val="00695CD5"/>
    <w:rsid w:val="00696516"/>
    <w:rsid w:val="006965EC"/>
    <w:rsid w:val="00696B7F"/>
    <w:rsid w:val="00697517"/>
    <w:rsid w:val="006979A2"/>
    <w:rsid w:val="006A07EE"/>
    <w:rsid w:val="006A0962"/>
    <w:rsid w:val="006A12A6"/>
    <w:rsid w:val="006A17CC"/>
    <w:rsid w:val="006A1BFC"/>
    <w:rsid w:val="006A2B20"/>
    <w:rsid w:val="006A2B6E"/>
    <w:rsid w:val="006A2BF1"/>
    <w:rsid w:val="006A2D59"/>
    <w:rsid w:val="006A2D8E"/>
    <w:rsid w:val="006A2DCD"/>
    <w:rsid w:val="006A4D02"/>
    <w:rsid w:val="006A5B1D"/>
    <w:rsid w:val="006A637C"/>
    <w:rsid w:val="006A6869"/>
    <w:rsid w:val="006A76E4"/>
    <w:rsid w:val="006A7AB7"/>
    <w:rsid w:val="006B0227"/>
    <w:rsid w:val="006B0654"/>
    <w:rsid w:val="006B083E"/>
    <w:rsid w:val="006B09C5"/>
    <w:rsid w:val="006B0A5A"/>
    <w:rsid w:val="006B1470"/>
    <w:rsid w:val="006B14F0"/>
    <w:rsid w:val="006B1C6C"/>
    <w:rsid w:val="006B1D4B"/>
    <w:rsid w:val="006B1F48"/>
    <w:rsid w:val="006B3092"/>
    <w:rsid w:val="006B3591"/>
    <w:rsid w:val="006B3608"/>
    <w:rsid w:val="006B3A83"/>
    <w:rsid w:val="006B4AAC"/>
    <w:rsid w:val="006B5537"/>
    <w:rsid w:val="006B57B3"/>
    <w:rsid w:val="006B581E"/>
    <w:rsid w:val="006B6064"/>
    <w:rsid w:val="006B6194"/>
    <w:rsid w:val="006B64D2"/>
    <w:rsid w:val="006B6FD5"/>
    <w:rsid w:val="006B7001"/>
    <w:rsid w:val="006B734C"/>
    <w:rsid w:val="006B7602"/>
    <w:rsid w:val="006B7FBD"/>
    <w:rsid w:val="006C0943"/>
    <w:rsid w:val="006C13DB"/>
    <w:rsid w:val="006C148C"/>
    <w:rsid w:val="006C153B"/>
    <w:rsid w:val="006C157A"/>
    <w:rsid w:val="006C1DC7"/>
    <w:rsid w:val="006C1FF0"/>
    <w:rsid w:val="006C26E0"/>
    <w:rsid w:val="006C272A"/>
    <w:rsid w:val="006C2ACD"/>
    <w:rsid w:val="006C2C37"/>
    <w:rsid w:val="006C2C55"/>
    <w:rsid w:val="006C36DE"/>
    <w:rsid w:val="006C397B"/>
    <w:rsid w:val="006C39EF"/>
    <w:rsid w:val="006C3A4A"/>
    <w:rsid w:val="006C3AC8"/>
    <w:rsid w:val="006C3ED9"/>
    <w:rsid w:val="006C3F6F"/>
    <w:rsid w:val="006C409C"/>
    <w:rsid w:val="006C4436"/>
    <w:rsid w:val="006C44FD"/>
    <w:rsid w:val="006C45C4"/>
    <w:rsid w:val="006C479E"/>
    <w:rsid w:val="006C4E87"/>
    <w:rsid w:val="006C5339"/>
    <w:rsid w:val="006C5548"/>
    <w:rsid w:val="006C59B1"/>
    <w:rsid w:val="006C5C81"/>
    <w:rsid w:val="006C5CE8"/>
    <w:rsid w:val="006C5FD6"/>
    <w:rsid w:val="006C6194"/>
    <w:rsid w:val="006C63A1"/>
    <w:rsid w:val="006C6502"/>
    <w:rsid w:val="006C652A"/>
    <w:rsid w:val="006C6C87"/>
    <w:rsid w:val="006C739A"/>
    <w:rsid w:val="006C76A8"/>
    <w:rsid w:val="006C7838"/>
    <w:rsid w:val="006C7B06"/>
    <w:rsid w:val="006D0537"/>
    <w:rsid w:val="006D0BE1"/>
    <w:rsid w:val="006D0D81"/>
    <w:rsid w:val="006D1408"/>
    <w:rsid w:val="006D19C0"/>
    <w:rsid w:val="006D2A52"/>
    <w:rsid w:val="006D34F0"/>
    <w:rsid w:val="006D3F1B"/>
    <w:rsid w:val="006D4891"/>
    <w:rsid w:val="006D4955"/>
    <w:rsid w:val="006D4B87"/>
    <w:rsid w:val="006D5453"/>
    <w:rsid w:val="006D5659"/>
    <w:rsid w:val="006D5E03"/>
    <w:rsid w:val="006D695A"/>
    <w:rsid w:val="006D758F"/>
    <w:rsid w:val="006D768D"/>
    <w:rsid w:val="006D77C2"/>
    <w:rsid w:val="006D79A7"/>
    <w:rsid w:val="006D7FA1"/>
    <w:rsid w:val="006D7FAA"/>
    <w:rsid w:val="006E05D6"/>
    <w:rsid w:val="006E08DF"/>
    <w:rsid w:val="006E0F15"/>
    <w:rsid w:val="006E14E7"/>
    <w:rsid w:val="006E1A0E"/>
    <w:rsid w:val="006E2015"/>
    <w:rsid w:val="006E204F"/>
    <w:rsid w:val="006E2110"/>
    <w:rsid w:val="006E2358"/>
    <w:rsid w:val="006E2A18"/>
    <w:rsid w:val="006E2CC7"/>
    <w:rsid w:val="006E2D68"/>
    <w:rsid w:val="006E327E"/>
    <w:rsid w:val="006E3330"/>
    <w:rsid w:val="006E39CC"/>
    <w:rsid w:val="006E436A"/>
    <w:rsid w:val="006E49BA"/>
    <w:rsid w:val="006E5FE4"/>
    <w:rsid w:val="006E6147"/>
    <w:rsid w:val="006E6D09"/>
    <w:rsid w:val="006E6D3D"/>
    <w:rsid w:val="006E72D3"/>
    <w:rsid w:val="006E74E3"/>
    <w:rsid w:val="006E7709"/>
    <w:rsid w:val="006E7D6F"/>
    <w:rsid w:val="006F07A1"/>
    <w:rsid w:val="006F0A6D"/>
    <w:rsid w:val="006F16DB"/>
    <w:rsid w:val="006F1A01"/>
    <w:rsid w:val="006F1BCE"/>
    <w:rsid w:val="006F1D9C"/>
    <w:rsid w:val="006F2184"/>
    <w:rsid w:val="006F28B2"/>
    <w:rsid w:val="006F2A09"/>
    <w:rsid w:val="006F2C3F"/>
    <w:rsid w:val="006F302B"/>
    <w:rsid w:val="006F342C"/>
    <w:rsid w:val="006F3677"/>
    <w:rsid w:val="006F3D7D"/>
    <w:rsid w:val="006F3F90"/>
    <w:rsid w:val="006F40FF"/>
    <w:rsid w:val="006F4636"/>
    <w:rsid w:val="006F4FF6"/>
    <w:rsid w:val="006F51BC"/>
    <w:rsid w:val="006F6236"/>
    <w:rsid w:val="006F62B2"/>
    <w:rsid w:val="006F682C"/>
    <w:rsid w:val="006F6E8A"/>
    <w:rsid w:val="006F7089"/>
    <w:rsid w:val="006F764D"/>
    <w:rsid w:val="0070011F"/>
    <w:rsid w:val="007002A1"/>
    <w:rsid w:val="0070077E"/>
    <w:rsid w:val="0070097A"/>
    <w:rsid w:val="00700A50"/>
    <w:rsid w:val="00700B4C"/>
    <w:rsid w:val="0070184E"/>
    <w:rsid w:val="00701D76"/>
    <w:rsid w:val="0070208F"/>
    <w:rsid w:val="007020EA"/>
    <w:rsid w:val="00702A02"/>
    <w:rsid w:val="00702BA4"/>
    <w:rsid w:val="00703CB5"/>
    <w:rsid w:val="007041AA"/>
    <w:rsid w:val="00704278"/>
    <w:rsid w:val="007052CC"/>
    <w:rsid w:val="00705319"/>
    <w:rsid w:val="0070533B"/>
    <w:rsid w:val="00705DF4"/>
    <w:rsid w:val="00706304"/>
    <w:rsid w:val="0070651C"/>
    <w:rsid w:val="00706B3B"/>
    <w:rsid w:val="00706B72"/>
    <w:rsid w:val="00706EC8"/>
    <w:rsid w:val="00710845"/>
    <w:rsid w:val="0071138B"/>
    <w:rsid w:val="00711C71"/>
    <w:rsid w:val="00711E12"/>
    <w:rsid w:val="00711F26"/>
    <w:rsid w:val="0071265F"/>
    <w:rsid w:val="0071281B"/>
    <w:rsid w:val="007131FB"/>
    <w:rsid w:val="00713268"/>
    <w:rsid w:val="007139FB"/>
    <w:rsid w:val="00713B9A"/>
    <w:rsid w:val="00713D98"/>
    <w:rsid w:val="007142C0"/>
    <w:rsid w:val="007148A1"/>
    <w:rsid w:val="00714CC3"/>
    <w:rsid w:val="00714DAF"/>
    <w:rsid w:val="0071547D"/>
    <w:rsid w:val="007154D9"/>
    <w:rsid w:val="007156D4"/>
    <w:rsid w:val="0071588D"/>
    <w:rsid w:val="007167CC"/>
    <w:rsid w:val="007169C3"/>
    <w:rsid w:val="00716E7B"/>
    <w:rsid w:val="00716FA2"/>
    <w:rsid w:val="00717BB2"/>
    <w:rsid w:val="00720074"/>
    <w:rsid w:val="007210DA"/>
    <w:rsid w:val="0072188D"/>
    <w:rsid w:val="00721E71"/>
    <w:rsid w:val="0072215E"/>
    <w:rsid w:val="0072216B"/>
    <w:rsid w:val="00722576"/>
    <w:rsid w:val="00722844"/>
    <w:rsid w:val="007228C0"/>
    <w:rsid w:val="00722D34"/>
    <w:rsid w:val="00723794"/>
    <w:rsid w:val="00723818"/>
    <w:rsid w:val="00723D1B"/>
    <w:rsid w:val="007245CD"/>
    <w:rsid w:val="007247F8"/>
    <w:rsid w:val="00724821"/>
    <w:rsid w:val="0072562B"/>
    <w:rsid w:val="007258F3"/>
    <w:rsid w:val="00725E38"/>
    <w:rsid w:val="0072631C"/>
    <w:rsid w:val="00726931"/>
    <w:rsid w:val="007269ED"/>
    <w:rsid w:val="00726D07"/>
    <w:rsid w:val="007275A6"/>
    <w:rsid w:val="00727885"/>
    <w:rsid w:val="007303CE"/>
    <w:rsid w:val="00730619"/>
    <w:rsid w:val="00730933"/>
    <w:rsid w:val="0073096A"/>
    <w:rsid w:val="00730C93"/>
    <w:rsid w:val="00731762"/>
    <w:rsid w:val="00731F42"/>
    <w:rsid w:val="00732536"/>
    <w:rsid w:val="00732B25"/>
    <w:rsid w:val="00733AEC"/>
    <w:rsid w:val="00733EDE"/>
    <w:rsid w:val="00733F3B"/>
    <w:rsid w:val="0073489E"/>
    <w:rsid w:val="00734D76"/>
    <w:rsid w:val="00734F7B"/>
    <w:rsid w:val="00735427"/>
    <w:rsid w:val="007361D4"/>
    <w:rsid w:val="007362FC"/>
    <w:rsid w:val="00736691"/>
    <w:rsid w:val="00736CF1"/>
    <w:rsid w:val="00736E2A"/>
    <w:rsid w:val="00736F9E"/>
    <w:rsid w:val="00740793"/>
    <w:rsid w:val="00740FEA"/>
    <w:rsid w:val="00741414"/>
    <w:rsid w:val="00741423"/>
    <w:rsid w:val="00741748"/>
    <w:rsid w:val="00741F34"/>
    <w:rsid w:val="007421AC"/>
    <w:rsid w:val="00742275"/>
    <w:rsid w:val="00742C3A"/>
    <w:rsid w:val="00742D58"/>
    <w:rsid w:val="00743678"/>
    <w:rsid w:val="0074375C"/>
    <w:rsid w:val="007441A9"/>
    <w:rsid w:val="007442D2"/>
    <w:rsid w:val="00744979"/>
    <w:rsid w:val="00744DE3"/>
    <w:rsid w:val="00744EDB"/>
    <w:rsid w:val="00745292"/>
    <w:rsid w:val="00745ABC"/>
    <w:rsid w:val="00745DBF"/>
    <w:rsid w:val="00745F33"/>
    <w:rsid w:val="00746452"/>
    <w:rsid w:val="0074663C"/>
    <w:rsid w:val="0074704A"/>
    <w:rsid w:val="0074778F"/>
    <w:rsid w:val="007478AC"/>
    <w:rsid w:val="00747B62"/>
    <w:rsid w:val="00747B84"/>
    <w:rsid w:val="00750B76"/>
    <w:rsid w:val="00750C70"/>
    <w:rsid w:val="007515B8"/>
    <w:rsid w:val="007516D9"/>
    <w:rsid w:val="007516EF"/>
    <w:rsid w:val="007517C5"/>
    <w:rsid w:val="00751E30"/>
    <w:rsid w:val="0075210D"/>
    <w:rsid w:val="007524E3"/>
    <w:rsid w:val="00752FA2"/>
    <w:rsid w:val="007530A3"/>
    <w:rsid w:val="00753CC1"/>
    <w:rsid w:val="00753E87"/>
    <w:rsid w:val="00754B8D"/>
    <w:rsid w:val="00754F0F"/>
    <w:rsid w:val="00755410"/>
    <w:rsid w:val="00755A6D"/>
    <w:rsid w:val="007563BF"/>
    <w:rsid w:val="00756939"/>
    <w:rsid w:val="00756C8F"/>
    <w:rsid w:val="007579C7"/>
    <w:rsid w:val="00757BE5"/>
    <w:rsid w:val="0076017C"/>
    <w:rsid w:val="0076034E"/>
    <w:rsid w:val="00760377"/>
    <w:rsid w:val="0076049A"/>
    <w:rsid w:val="007605FC"/>
    <w:rsid w:val="00760DC6"/>
    <w:rsid w:val="00760E28"/>
    <w:rsid w:val="0076197D"/>
    <w:rsid w:val="00761A2F"/>
    <w:rsid w:val="00761FFD"/>
    <w:rsid w:val="00762244"/>
    <w:rsid w:val="0076261C"/>
    <w:rsid w:val="007629F5"/>
    <w:rsid w:val="007638A5"/>
    <w:rsid w:val="00763F6F"/>
    <w:rsid w:val="00764453"/>
    <w:rsid w:val="0076455A"/>
    <w:rsid w:val="00764F8E"/>
    <w:rsid w:val="00765D06"/>
    <w:rsid w:val="007660AD"/>
    <w:rsid w:val="007700CE"/>
    <w:rsid w:val="007707BB"/>
    <w:rsid w:val="00770D82"/>
    <w:rsid w:val="00771145"/>
    <w:rsid w:val="00771955"/>
    <w:rsid w:val="00771CE5"/>
    <w:rsid w:val="00771D14"/>
    <w:rsid w:val="00771D8F"/>
    <w:rsid w:val="00772541"/>
    <w:rsid w:val="00773301"/>
    <w:rsid w:val="007737D4"/>
    <w:rsid w:val="0077404A"/>
    <w:rsid w:val="00774738"/>
    <w:rsid w:val="007747B6"/>
    <w:rsid w:val="00774B9A"/>
    <w:rsid w:val="00774C67"/>
    <w:rsid w:val="00774E6F"/>
    <w:rsid w:val="007752A2"/>
    <w:rsid w:val="0077557C"/>
    <w:rsid w:val="007756ED"/>
    <w:rsid w:val="00775885"/>
    <w:rsid w:val="00775B9B"/>
    <w:rsid w:val="00775BB6"/>
    <w:rsid w:val="00775BC3"/>
    <w:rsid w:val="00775F20"/>
    <w:rsid w:val="00775FC9"/>
    <w:rsid w:val="0077659C"/>
    <w:rsid w:val="007772E6"/>
    <w:rsid w:val="007774EF"/>
    <w:rsid w:val="00777629"/>
    <w:rsid w:val="0077780F"/>
    <w:rsid w:val="007801D6"/>
    <w:rsid w:val="00781146"/>
    <w:rsid w:val="00781A10"/>
    <w:rsid w:val="00781B04"/>
    <w:rsid w:val="007825C9"/>
    <w:rsid w:val="0078384E"/>
    <w:rsid w:val="00783B41"/>
    <w:rsid w:val="007844DD"/>
    <w:rsid w:val="00784679"/>
    <w:rsid w:val="00784A2E"/>
    <w:rsid w:val="00784B68"/>
    <w:rsid w:val="00785E53"/>
    <w:rsid w:val="00785F0A"/>
    <w:rsid w:val="007860F6"/>
    <w:rsid w:val="007862C3"/>
    <w:rsid w:val="00786CEE"/>
    <w:rsid w:val="0078729B"/>
    <w:rsid w:val="00787A6B"/>
    <w:rsid w:val="00787C2A"/>
    <w:rsid w:val="00787F82"/>
    <w:rsid w:val="0079080B"/>
    <w:rsid w:val="0079087B"/>
    <w:rsid w:val="007909FC"/>
    <w:rsid w:val="00790A87"/>
    <w:rsid w:val="0079239C"/>
    <w:rsid w:val="0079283D"/>
    <w:rsid w:val="007930E7"/>
    <w:rsid w:val="00793127"/>
    <w:rsid w:val="00793132"/>
    <w:rsid w:val="0079358F"/>
    <w:rsid w:val="00793674"/>
    <w:rsid w:val="00793685"/>
    <w:rsid w:val="0079397B"/>
    <w:rsid w:val="007948B9"/>
    <w:rsid w:val="00794D3F"/>
    <w:rsid w:val="007952B1"/>
    <w:rsid w:val="007957D2"/>
    <w:rsid w:val="00795D0F"/>
    <w:rsid w:val="00795D4A"/>
    <w:rsid w:val="0079656B"/>
    <w:rsid w:val="00796955"/>
    <w:rsid w:val="00796BA4"/>
    <w:rsid w:val="00796C8B"/>
    <w:rsid w:val="00797894"/>
    <w:rsid w:val="007978C9"/>
    <w:rsid w:val="0079799B"/>
    <w:rsid w:val="007A057A"/>
    <w:rsid w:val="007A115D"/>
    <w:rsid w:val="007A157B"/>
    <w:rsid w:val="007A18DF"/>
    <w:rsid w:val="007A1B30"/>
    <w:rsid w:val="007A1D67"/>
    <w:rsid w:val="007A2C03"/>
    <w:rsid w:val="007A2F65"/>
    <w:rsid w:val="007A3A18"/>
    <w:rsid w:val="007A3AA1"/>
    <w:rsid w:val="007A4A4B"/>
    <w:rsid w:val="007A528D"/>
    <w:rsid w:val="007A56B2"/>
    <w:rsid w:val="007A58CC"/>
    <w:rsid w:val="007A6ABD"/>
    <w:rsid w:val="007A6C03"/>
    <w:rsid w:val="007A6DF8"/>
    <w:rsid w:val="007A6F21"/>
    <w:rsid w:val="007A76BE"/>
    <w:rsid w:val="007A7DD1"/>
    <w:rsid w:val="007A7E48"/>
    <w:rsid w:val="007A7EFE"/>
    <w:rsid w:val="007B06AE"/>
    <w:rsid w:val="007B131C"/>
    <w:rsid w:val="007B17D6"/>
    <w:rsid w:val="007B20F6"/>
    <w:rsid w:val="007B247D"/>
    <w:rsid w:val="007B2CC7"/>
    <w:rsid w:val="007B40E7"/>
    <w:rsid w:val="007B4411"/>
    <w:rsid w:val="007B4BD6"/>
    <w:rsid w:val="007B4C16"/>
    <w:rsid w:val="007B4D8C"/>
    <w:rsid w:val="007B53CD"/>
    <w:rsid w:val="007B58CC"/>
    <w:rsid w:val="007B6567"/>
    <w:rsid w:val="007B6593"/>
    <w:rsid w:val="007B6751"/>
    <w:rsid w:val="007B7350"/>
    <w:rsid w:val="007B7634"/>
    <w:rsid w:val="007B7D55"/>
    <w:rsid w:val="007C01E8"/>
    <w:rsid w:val="007C0861"/>
    <w:rsid w:val="007C134E"/>
    <w:rsid w:val="007C17B6"/>
    <w:rsid w:val="007C199E"/>
    <w:rsid w:val="007C1DF3"/>
    <w:rsid w:val="007C1E09"/>
    <w:rsid w:val="007C1E2A"/>
    <w:rsid w:val="007C1FB1"/>
    <w:rsid w:val="007C22EA"/>
    <w:rsid w:val="007C2A86"/>
    <w:rsid w:val="007C2BBC"/>
    <w:rsid w:val="007C2CCA"/>
    <w:rsid w:val="007C3DD2"/>
    <w:rsid w:val="007C3ECB"/>
    <w:rsid w:val="007C4193"/>
    <w:rsid w:val="007C4472"/>
    <w:rsid w:val="007C4735"/>
    <w:rsid w:val="007C4904"/>
    <w:rsid w:val="007C4B84"/>
    <w:rsid w:val="007C4D39"/>
    <w:rsid w:val="007C53A1"/>
    <w:rsid w:val="007C54B7"/>
    <w:rsid w:val="007C567B"/>
    <w:rsid w:val="007C5969"/>
    <w:rsid w:val="007C5ED9"/>
    <w:rsid w:val="007C648E"/>
    <w:rsid w:val="007C67A1"/>
    <w:rsid w:val="007C6842"/>
    <w:rsid w:val="007C6DF6"/>
    <w:rsid w:val="007C7890"/>
    <w:rsid w:val="007C7D25"/>
    <w:rsid w:val="007C7ECB"/>
    <w:rsid w:val="007D059F"/>
    <w:rsid w:val="007D1C68"/>
    <w:rsid w:val="007D215F"/>
    <w:rsid w:val="007D324C"/>
    <w:rsid w:val="007D3455"/>
    <w:rsid w:val="007D3548"/>
    <w:rsid w:val="007D426E"/>
    <w:rsid w:val="007D43E8"/>
    <w:rsid w:val="007D4516"/>
    <w:rsid w:val="007D4EC8"/>
    <w:rsid w:val="007D6145"/>
    <w:rsid w:val="007D6365"/>
    <w:rsid w:val="007D63E9"/>
    <w:rsid w:val="007D670C"/>
    <w:rsid w:val="007D69DC"/>
    <w:rsid w:val="007D6CAA"/>
    <w:rsid w:val="007D6DC9"/>
    <w:rsid w:val="007D7395"/>
    <w:rsid w:val="007D78CC"/>
    <w:rsid w:val="007D7BC4"/>
    <w:rsid w:val="007E025B"/>
    <w:rsid w:val="007E066B"/>
    <w:rsid w:val="007E0AA4"/>
    <w:rsid w:val="007E0F0F"/>
    <w:rsid w:val="007E1C2E"/>
    <w:rsid w:val="007E249C"/>
    <w:rsid w:val="007E2839"/>
    <w:rsid w:val="007E32F0"/>
    <w:rsid w:val="007E3649"/>
    <w:rsid w:val="007E3F3F"/>
    <w:rsid w:val="007E402E"/>
    <w:rsid w:val="007E44F8"/>
    <w:rsid w:val="007E4596"/>
    <w:rsid w:val="007E4666"/>
    <w:rsid w:val="007E46FD"/>
    <w:rsid w:val="007E48B9"/>
    <w:rsid w:val="007E56B3"/>
    <w:rsid w:val="007E58CE"/>
    <w:rsid w:val="007E58F8"/>
    <w:rsid w:val="007E5C32"/>
    <w:rsid w:val="007E5CA3"/>
    <w:rsid w:val="007E5E5A"/>
    <w:rsid w:val="007E6263"/>
    <w:rsid w:val="007E6AD6"/>
    <w:rsid w:val="007E6DBE"/>
    <w:rsid w:val="007E74C9"/>
    <w:rsid w:val="007F06DE"/>
    <w:rsid w:val="007F0785"/>
    <w:rsid w:val="007F0A00"/>
    <w:rsid w:val="007F0B26"/>
    <w:rsid w:val="007F0D20"/>
    <w:rsid w:val="007F0F4E"/>
    <w:rsid w:val="007F154E"/>
    <w:rsid w:val="007F1726"/>
    <w:rsid w:val="007F1845"/>
    <w:rsid w:val="007F1C7E"/>
    <w:rsid w:val="007F1C9D"/>
    <w:rsid w:val="007F1E40"/>
    <w:rsid w:val="007F2D0C"/>
    <w:rsid w:val="007F33F3"/>
    <w:rsid w:val="007F3D93"/>
    <w:rsid w:val="007F40BD"/>
    <w:rsid w:val="007F531D"/>
    <w:rsid w:val="007F5558"/>
    <w:rsid w:val="007F560D"/>
    <w:rsid w:val="007F5857"/>
    <w:rsid w:val="007F6306"/>
    <w:rsid w:val="007F6D73"/>
    <w:rsid w:val="007F729F"/>
    <w:rsid w:val="007F7802"/>
    <w:rsid w:val="007F78AD"/>
    <w:rsid w:val="007F7B3B"/>
    <w:rsid w:val="007F7B79"/>
    <w:rsid w:val="007F7F65"/>
    <w:rsid w:val="007F7FDE"/>
    <w:rsid w:val="008000D3"/>
    <w:rsid w:val="008001D7"/>
    <w:rsid w:val="008004AE"/>
    <w:rsid w:val="00800765"/>
    <w:rsid w:val="00800A37"/>
    <w:rsid w:val="00800B90"/>
    <w:rsid w:val="00800DB4"/>
    <w:rsid w:val="00800E78"/>
    <w:rsid w:val="00801098"/>
    <w:rsid w:val="00801222"/>
    <w:rsid w:val="00801396"/>
    <w:rsid w:val="008013B3"/>
    <w:rsid w:val="00801417"/>
    <w:rsid w:val="00801732"/>
    <w:rsid w:val="00801805"/>
    <w:rsid w:val="008019DE"/>
    <w:rsid w:val="00802BC6"/>
    <w:rsid w:val="008031A9"/>
    <w:rsid w:val="0080326B"/>
    <w:rsid w:val="008032F4"/>
    <w:rsid w:val="00803456"/>
    <w:rsid w:val="00803AA8"/>
    <w:rsid w:val="00804181"/>
    <w:rsid w:val="00804677"/>
    <w:rsid w:val="008048C0"/>
    <w:rsid w:val="00804A12"/>
    <w:rsid w:val="00804D3C"/>
    <w:rsid w:val="0080517C"/>
    <w:rsid w:val="00805A52"/>
    <w:rsid w:val="00805F24"/>
    <w:rsid w:val="0080620C"/>
    <w:rsid w:val="00806811"/>
    <w:rsid w:val="00806B0D"/>
    <w:rsid w:val="008071DD"/>
    <w:rsid w:val="00807593"/>
    <w:rsid w:val="008077E3"/>
    <w:rsid w:val="00810659"/>
    <w:rsid w:val="008115CF"/>
    <w:rsid w:val="008126CE"/>
    <w:rsid w:val="0081292A"/>
    <w:rsid w:val="00813229"/>
    <w:rsid w:val="00813556"/>
    <w:rsid w:val="00813BDB"/>
    <w:rsid w:val="008145E4"/>
    <w:rsid w:val="00814671"/>
    <w:rsid w:val="0081485D"/>
    <w:rsid w:val="008149D1"/>
    <w:rsid w:val="00814F19"/>
    <w:rsid w:val="00815A44"/>
    <w:rsid w:val="0081616E"/>
    <w:rsid w:val="0081621E"/>
    <w:rsid w:val="00816420"/>
    <w:rsid w:val="008164C5"/>
    <w:rsid w:val="0081659D"/>
    <w:rsid w:val="00816AF6"/>
    <w:rsid w:val="00816D22"/>
    <w:rsid w:val="00816FA7"/>
    <w:rsid w:val="008172F7"/>
    <w:rsid w:val="0081795E"/>
    <w:rsid w:val="00817B8F"/>
    <w:rsid w:val="00820051"/>
    <w:rsid w:val="00820CEC"/>
    <w:rsid w:val="00820DA6"/>
    <w:rsid w:val="0082109D"/>
    <w:rsid w:val="00821560"/>
    <w:rsid w:val="0082169E"/>
    <w:rsid w:val="00821769"/>
    <w:rsid w:val="008218E5"/>
    <w:rsid w:val="00822125"/>
    <w:rsid w:val="00822B26"/>
    <w:rsid w:val="00823068"/>
    <w:rsid w:val="0082361F"/>
    <w:rsid w:val="008245D7"/>
    <w:rsid w:val="008247FE"/>
    <w:rsid w:val="00824BA9"/>
    <w:rsid w:val="00824CD3"/>
    <w:rsid w:val="00825764"/>
    <w:rsid w:val="00826A9D"/>
    <w:rsid w:val="00827E68"/>
    <w:rsid w:val="008305B9"/>
    <w:rsid w:val="00830775"/>
    <w:rsid w:val="00830A55"/>
    <w:rsid w:val="00830CAF"/>
    <w:rsid w:val="00830F48"/>
    <w:rsid w:val="008314CD"/>
    <w:rsid w:val="00831C63"/>
    <w:rsid w:val="00832A37"/>
    <w:rsid w:val="00832B22"/>
    <w:rsid w:val="00833094"/>
    <w:rsid w:val="00833286"/>
    <w:rsid w:val="0083377A"/>
    <w:rsid w:val="00833D0C"/>
    <w:rsid w:val="00834178"/>
    <w:rsid w:val="00835635"/>
    <w:rsid w:val="00835794"/>
    <w:rsid w:val="00835B47"/>
    <w:rsid w:val="008361DB"/>
    <w:rsid w:val="00836792"/>
    <w:rsid w:val="00836DE6"/>
    <w:rsid w:val="00837227"/>
    <w:rsid w:val="00837A76"/>
    <w:rsid w:val="00837F50"/>
    <w:rsid w:val="0084016E"/>
    <w:rsid w:val="008408A3"/>
    <w:rsid w:val="00840BDF"/>
    <w:rsid w:val="00840D1A"/>
    <w:rsid w:val="00841326"/>
    <w:rsid w:val="008415EA"/>
    <w:rsid w:val="0084174A"/>
    <w:rsid w:val="008419DC"/>
    <w:rsid w:val="00841E1E"/>
    <w:rsid w:val="00841E29"/>
    <w:rsid w:val="00842175"/>
    <w:rsid w:val="008421F0"/>
    <w:rsid w:val="00842264"/>
    <w:rsid w:val="008424B0"/>
    <w:rsid w:val="00842862"/>
    <w:rsid w:val="00842F03"/>
    <w:rsid w:val="008430B0"/>
    <w:rsid w:val="008432CE"/>
    <w:rsid w:val="0084384B"/>
    <w:rsid w:val="00843923"/>
    <w:rsid w:val="00843E41"/>
    <w:rsid w:val="00843E8F"/>
    <w:rsid w:val="00844771"/>
    <w:rsid w:val="00844850"/>
    <w:rsid w:val="00844AFD"/>
    <w:rsid w:val="008457AF"/>
    <w:rsid w:val="00845FD2"/>
    <w:rsid w:val="00845FD7"/>
    <w:rsid w:val="00846596"/>
    <w:rsid w:val="0084725F"/>
    <w:rsid w:val="00847380"/>
    <w:rsid w:val="008473D9"/>
    <w:rsid w:val="008473F4"/>
    <w:rsid w:val="008479AE"/>
    <w:rsid w:val="00847ADC"/>
    <w:rsid w:val="00847CA3"/>
    <w:rsid w:val="00850C7C"/>
    <w:rsid w:val="00850FBF"/>
    <w:rsid w:val="0085126A"/>
    <w:rsid w:val="008513F0"/>
    <w:rsid w:val="00851EF7"/>
    <w:rsid w:val="008527A3"/>
    <w:rsid w:val="00852919"/>
    <w:rsid w:val="008535D1"/>
    <w:rsid w:val="008537A0"/>
    <w:rsid w:val="00853898"/>
    <w:rsid w:val="008541C2"/>
    <w:rsid w:val="0085485C"/>
    <w:rsid w:val="00854C16"/>
    <w:rsid w:val="00854C1E"/>
    <w:rsid w:val="00854D4D"/>
    <w:rsid w:val="00855688"/>
    <w:rsid w:val="00855709"/>
    <w:rsid w:val="0085623A"/>
    <w:rsid w:val="00856290"/>
    <w:rsid w:val="00856E33"/>
    <w:rsid w:val="00856F11"/>
    <w:rsid w:val="00857073"/>
    <w:rsid w:val="00857785"/>
    <w:rsid w:val="0085794E"/>
    <w:rsid w:val="008579D7"/>
    <w:rsid w:val="00860986"/>
    <w:rsid w:val="00860A71"/>
    <w:rsid w:val="00860A7D"/>
    <w:rsid w:val="00860D1D"/>
    <w:rsid w:val="00860ECD"/>
    <w:rsid w:val="00860FED"/>
    <w:rsid w:val="008617EF"/>
    <w:rsid w:val="008618C5"/>
    <w:rsid w:val="00861B41"/>
    <w:rsid w:val="00862312"/>
    <w:rsid w:val="00862812"/>
    <w:rsid w:val="00862B9D"/>
    <w:rsid w:val="00862BE5"/>
    <w:rsid w:val="00862C45"/>
    <w:rsid w:val="00862EF9"/>
    <w:rsid w:val="00864863"/>
    <w:rsid w:val="00864874"/>
    <w:rsid w:val="008651FA"/>
    <w:rsid w:val="0086541E"/>
    <w:rsid w:val="0086547D"/>
    <w:rsid w:val="00865577"/>
    <w:rsid w:val="00865897"/>
    <w:rsid w:val="0086596A"/>
    <w:rsid w:val="00865E4D"/>
    <w:rsid w:val="00866230"/>
    <w:rsid w:val="00866470"/>
    <w:rsid w:val="0086728E"/>
    <w:rsid w:val="0086762B"/>
    <w:rsid w:val="0086790C"/>
    <w:rsid w:val="008679E4"/>
    <w:rsid w:val="00867A11"/>
    <w:rsid w:val="00867E04"/>
    <w:rsid w:val="00870081"/>
    <w:rsid w:val="00870668"/>
    <w:rsid w:val="00870781"/>
    <w:rsid w:val="00870C7E"/>
    <w:rsid w:val="00870D63"/>
    <w:rsid w:val="008714F3"/>
    <w:rsid w:val="00871AEC"/>
    <w:rsid w:val="00872204"/>
    <w:rsid w:val="008723A7"/>
    <w:rsid w:val="008729F1"/>
    <w:rsid w:val="00873784"/>
    <w:rsid w:val="00873B22"/>
    <w:rsid w:val="00873C2C"/>
    <w:rsid w:val="00873ED4"/>
    <w:rsid w:val="00874093"/>
    <w:rsid w:val="008742B8"/>
    <w:rsid w:val="00874D2E"/>
    <w:rsid w:val="00874E7F"/>
    <w:rsid w:val="00875383"/>
    <w:rsid w:val="00875487"/>
    <w:rsid w:val="00875BC6"/>
    <w:rsid w:val="0087630F"/>
    <w:rsid w:val="00876F51"/>
    <w:rsid w:val="00877806"/>
    <w:rsid w:val="00877928"/>
    <w:rsid w:val="00877A35"/>
    <w:rsid w:val="00877C23"/>
    <w:rsid w:val="00877E6C"/>
    <w:rsid w:val="0088018F"/>
    <w:rsid w:val="008809B2"/>
    <w:rsid w:val="00880DE7"/>
    <w:rsid w:val="00881161"/>
    <w:rsid w:val="008811C1"/>
    <w:rsid w:val="0088144A"/>
    <w:rsid w:val="008818A9"/>
    <w:rsid w:val="008828A4"/>
    <w:rsid w:val="008831DA"/>
    <w:rsid w:val="00883243"/>
    <w:rsid w:val="008833E8"/>
    <w:rsid w:val="00883631"/>
    <w:rsid w:val="008837A8"/>
    <w:rsid w:val="00883857"/>
    <w:rsid w:val="0088416A"/>
    <w:rsid w:val="008841A3"/>
    <w:rsid w:val="00884271"/>
    <w:rsid w:val="008848F4"/>
    <w:rsid w:val="0088567B"/>
    <w:rsid w:val="00885CD1"/>
    <w:rsid w:val="00885E26"/>
    <w:rsid w:val="00886485"/>
    <w:rsid w:val="00887E2B"/>
    <w:rsid w:val="0089046E"/>
    <w:rsid w:val="00890969"/>
    <w:rsid w:val="00891FB1"/>
    <w:rsid w:val="00892C33"/>
    <w:rsid w:val="0089310B"/>
    <w:rsid w:val="0089321D"/>
    <w:rsid w:val="008938CC"/>
    <w:rsid w:val="00893DD0"/>
    <w:rsid w:val="008947B9"/>
    <w:rsid w:val="008948AB"/>
    <w:rsid w:val="00894BAA"/>
    <w:rsid w:val="00894BCD"/>
    <w:rsid w:val="008950EE"/>
    <w:rsid w:val="00895241"/>
    <w:rsid w:val="0089550D"/>
    <w:rsid w:val="00895A24"/>
    <w:rsid w:val="00895C11"/>
    <w:rsid w:val="00895CC8"/>
    <w:rsid w:val="00895D0D"/>
    <w:rsid w:val="00895DAA"/>
    <w:rsid w:val="008961D9"/>
    <w:rsid w:val="00896464"/>
    <w:rsid w:val="00896716"/>
    <w:rsid w:val="00897440"/>
    <w:rsid w:val="008976E8"/>
    <w:rsid w:val="008A00E3"/>
    <w:rsid w:val="008A00E6"/>
    <w:rsid w:val="008A0B61"/>
    <w:rsid w:val="008A0EFB"/>
    <w:rsid w:val="008A1375"/>
    <w:rsid w:val="008A14AB"/>
    <w:rsid w:val="008A1A0D"/>
    <w:rsid w:val="008A1D17"/>
    <w:rsid w:val="008A2A17"/>
    <w:rsid w:val="008A30F6"/>
    <w:rsid w:val="008A31A5"/>
    <w:rsid w:val="008A330C"/>
    <w:rsid w:val="008A36ED"/>
    <w:rsid w:val="008A4B4B"/>
    <w:rsid w:val="008A4BEB"/>
    <w:rsid w:val="008A4FAF"/>
    <w:rsid w:val="008A54FE"/>
    <w:rsid w:val="008A552A"/>
    <w:rsid w:val="008A5CEE"/>
    <w:rsid w:val="008A6088"/>
    <w:rsid w:val="008A6370"/>
    <w:rsid w:val="008A679E"/>
    <w:rsid w:val="008A6BC2"/>
    <w:rsid w:val="008A75EA"/>
    <w:rsid w:val="008A7889"/>
    <w:rsid w:val="008A7FDE"/>
    <w:rsid w:val="008B02C6"/>
    <w:rsid w:val="008B05A7"/>
    <w:rsid w:val="008B0808"/>
    <w:rsid w:val="008B0D12"/>
    <w:rsid w:val="008B0D1D"/>
    <w:rsid w:val="008B0DBC"/>
    <w:rsid w:val="008B0E69"/>
    <w:rsid w:val="008B1DE8"/>
    <w:rsid w:val="008B20FA"/>
    <w:rsid w:val="008B267D"/>
    <w:rsid w:val="008B2846"/>
    <w:rsid w:val="008B3256"/>
    <w:rsid w:val="008B3EC8"/>
    <w:rsid w:val="008B3F29"/>
    <w:rsid w:val="008B48E8"/>
    <w:rsid w:val="008B49DD"/>
    <w:rsid w:val="008B5B10"/>
    <w:rsid w:val="008B6ADA"/>
    <w:rsid w:val="008B6CAE"/>
    <w:rsid w:val="008B7350"/>
    <w:rsid w:val="008B75FF"/>
    <w:rsid w:val="008B77B9"/>
    <w:rsid w:val="008C0149"/>
    <w:rsid w:val="008C06A8"/>
    <w:rsid w:val="008C0BBF"/>
    <w:rsid w:val="008C13AD"/>
    <w:rsid w:val="008C1D9F"/>
    <w:rsid w:val="008C22D5"/>
    <w:rsid w:val="008C25AE"/>
    <w:rsid w:val="008C26AF"/>
    <w:rsid w:val="008C2F01"/>
    <w:rsid w:val="008C2FAF"/>
    <w:rsid w:val="008C37A1"/>
    <w:rsid w:val="008C383B"/>
    <w:rsid w:val="008C528E"/>
    <w:rsid w:val="008C608B"/>
    <w:rsid w:val="008C624F"/>
    <w:rsid w:val="008C649B"/>
    <w:rsid w:val="008C6891"/>
    <w:rsid w:val="008C6F1E"/>
    <w:rsid w:val="008C70DE"/>
    <w:rsid w:val="008C73F7"/>
    <w:rsid w:val="008C787D"/>
    <w:rsid w:val="008C7C8B"/>
    <w:rsid w:val="008C7D8C"/>
    <w:rsid w:val="008D118C"/>
    <w:rsid w:val="008D1524"/>
    <w:rsid w:val="008D1F29"/>
    <w:rsid w:val="008D1FBF"/>
    <w:rsid w:val="008D20C9"/>
    <w:rsid w:val="008D231B"/>
    <w:rsid w:val="008D281F"/>
    <w:rsid w:val="008D2AEE"/>
    <w:rsid w:val="008D2CF1"/>
    <w:rsid w:val="008D31CD"/>
    <w:rsid w:val="008D3585"/>
    <w:rsid w:val="008D3978"/>
    <w:rsid w:val="008D3EB6"/>
    <w:rsid w:val="008D46FD"/>
    <w:rsid w:val="008D4C73"/>
    <w:rsid w:val="008D4CAA"/>
    <w:rsid w:val="008D5301"/>
    <w:rsid w:val="008D59D4"/>
    <w:rsid w:val="008D6AB7"/>
    <w:rsid w:val="008D6CE6"/>
    <w:rsid w:val="008D7275"/>
    <w:rsid w:val="008D776D"/>
    <w:rsid w:val="008D7919"/>
    <w:rsid w:val="008D7EA4"/>
    <w:rsid w:val="008D7F25"/>
    <w:rsid w:val="008E005E"/>
    <w:rsid w:val="008E0161"/>
    <w:rsid w:val="008E051B"/>
    <w:rsid w:val="008E09F2"/>
    <w:rsid w:val="008E0B0F"/>
    <w:rsid w:val="008E1043"/>
    <w:rsid w:val="008E15AE"/>
    <w:rsid w:val="008E1BDF"/>
    <w:rsid w:val="008E1CD4"/>
    <w:rsid w:val="008E1EDE"/>
    <w:rsid w:val="008E26A4"/>
    <w:rsid w:val="008E2DCA"/>
    <w:rsid w:val="008E2EED"/>
    <w:rsid w:val="008E37F9"/>
    <w:rsid w:val="008E3C78"/>
    <w:rsid w:val="008E43AE"/>
    <w:rsid w:val="008E458F"/>
    <w:rsid w:val="008E4955"/>
    <w:rsid w:val="008E4B76"/>
    <w:rsid w:val="008E512B"/>
    <w:rsid w:val="008E5721"/>
    <w:rsid w:val="008E5808"/>
    <w:rsid w:val="008E58C0"/>
    <w:rsid w:val="008E5CAB"/>
    <w:rsid w:val="008E60B9"/>
    <w:rsid w:val="008E61E2"/>
    <w:rsid w:val="008E64E8"/>
    <w:rsid w:val="008E728C"/>
    <w:rsid w:val="008E738A"/>
    <w:rsid w:val="008E766C"/>
    <w:rsid w:val="008E7B08"/>
    <w:rsid w:val="008E7C7A"/>
    <w:rsid w:val="008E7D37"/>
    <w:rsid w:val="008E7D56"/>
    <w:rsid w:val="008E7D5C"/>
    <w:rsid w:val="008E7EA0"/>
    <w:rsid w:val="008E7F9D"/>
    <w:rsid w:val="008F0928"/>
    <w:rsid w:val="008F0CC4"/>
    <w:rsid w:val="008F0EBB"/>
    <w:rsid w:val="008F2103"/>
    <w:rsid w:val="008F3066"/>
    <w:rsid w:val="008F33F2"/>
    <w:rsid w:val="008F400A"/>
    <w:rsid w:val="008F46F6"/>
    <w:rsid w:val="008F470E"/>
    <w:rsid w:val="008F4838"/>
    <w:rsid w:val="008F4E76"/>
    <w:rsid w:val="008F52C2"/>
    <w:rsid w:val="008F5549"/>
    <w:rsid w:val="008F56CE"/>
    <w:rsid w:val="008F61E6"/>
    <w:rsid w:val="008F6481"/>
    <w:rsid w:val="008F6CDC"/>
    <w:rsid w:val="008F6F75"/>
    <w:rsid w:val="008F792A"/>
    <w:rsid w:val="00900258"/>
    <w:rsid w:val="00900C11"/>
    <w:rsid w:val="00901958"/>
    <w:rsid w:val="009019A8"/>
    <w:rsid w:val="00902005"/>
    <w:rsid w:val="00902128"/>
    <w:rsid w:val="00903A38"/>
    <w:rsid w:val="00903DBA"/>
    <w:rsid w:val="00904031"/>
    <w:rsid w:val="0090487B"/>
    <w:rsid w:val="00906463"/>
    <w:rsid w:val="009068B6"/>
    <w:rsid w:val="00906F1C"/>
    <w:rsid w:val="00907507"/>
    <w:rsid w:val="00907CAD"/>
    <w:rsid w:val="00910552"/>
    <w:rsid w:val="009109BE"/>
    <w:rsid w:val="00910AFB"/>
    <w:rsid w:val="00910CB7"/>
    <w:rsid w:val="009112ED"/>
    <w:rsid w:val="00911BE4"/>
    <w:rsid w:val="00911E1A"/>
    <w:rsid w:val="0091200F"/>
    <w:rsid w:val="0091206A"/>
    <w:rsid w:val="0091263A"/>
    <w:rsid w:val="009126B4"/>
    <w:rsid w:val="009126E6"/>
    <w:rsid w:val="00912969"/>
    <w:rsid w:val="00912D09"/>
    <w:rsid w:val="00913082"/>
    <w:rsid w:val="009132C3"/>
    <w:rsid w:val="009134C4"/>
    <w:rsid w:val="00913A79"/>
    <w:rsid w:val="00913AE0"/>
    <w:rsid w:val="00913B9E"/>
    <w:rsid w:val="0091412E"/>
    <w:rsid w:val="0091421A"/>
    <w:rsid w:val="0091426D"/>
    <w:rsid w:val="00914618"/>
    <w:rsid w:val="009148AF"/>
    <w:rsid w:val="00914B54"/>
    <w:rsid w:val="00914EAB"/>
    <w:rsid w:val="00915F70"/>
    <w:rsid w:val="00916128"/>
    <w:rsid w:val="009163E9"/>
    <w:rsid w:val="0091642B"/>
    <w:rsid w:val="00916613"/>
    <w:rsid w:val="009178AA"/>
    <w:rsid w:val="00917C15"/>
    <w:rsid w:val="00917CC1"/>
    <w:rsid w:val="00920254"/>
    <w:rsid w:val="00920510"/>
    <w:rsid w:val="00920AA5"/>
    <w:rsid w:val="00920D7A"/>
    <w:rsid w:val="009217D3"/>
    <w:rsid w:val="00921FD8"/>
    <w:rsid w:val="00922E7E"/>
    <w:rsid w:val="00923568"/>
    <w:rsid w:val="00923A91"/>
    <w:rsid w:val="00923DC8"/>
    <w:rsid w:val="00924798"/>
    <w:rsid w:val="00924B12"/>
    <w:rsid w:val="009254BE"/>
    <w:rsid w:val="0092689E"/>
    <w:rsid w:val="00927B4D"/>
    <w:rsid w:val="00927CAF"/>
    <w:rsid w:val="00927E2B"/>
    <w:rsid w:val="00927F17"/>
    <w:rsid w:val="0093085D"/>
    <w:rsid w:val="0093098B"/>
    <w:rsid w:val="00930AD9"/>
    <w:rsid w:val="00930D75"/>
    <w:rsid w:val="0093127E"/>
    <w:rsid w:val="009313E4"/>
    <w:rsid w:val="00931602"/>
    <w:rsid w:val="00931905"/>
    <w:rsid w:val="00932105"/>
    <w:rsid w:val="00932E7B"/>
    <w:rsid w:val="0093306D"/>
    <w:rsid w:val="009348FD"/>
    <w:rsid w:val="00934B4C"/>
    <w:rsid w:val="00934BBA"/>
    <w:rsid w:val="00935142"/>
    <w:rsid w:val="0093519E"/>
    <w:rsid w:val="009355B8"/>
    <w:rsid w:val="009357F8"/>
    <w:rsid w:val="009359F3"/>
    <w:rsid w:val="00935AEB"/>
    <w:rsid w:val="00935C88"/>
    <w:rsid w:val="0093676F"/>
    <w:rsid w:val="00936F96"/>
    <w:rsid w:val="0093718B"/>
    <w:rsid w:val="00937201"/>
    <w:rsid w:val="00937746"/>
    <w:rsid w:val="00937DFE"/>
    <w:rsid w:val="00940594"/>
    <w:rsid w:val="0094069D"/>
    <w:rsid w:val="00941435"/>
    <w:rsid w:val="009415F5"/>
    <w:rsid w:val="00941B20"/>
    <w:rsid w:val="00941C6A"/>
    <w:rsid w:val="00941CED"/>
    <w:rsid w:val="00941DCC"/>
    <w:rsid w:val="00942549"/>
    <w:rsid w:val="00943B35"/>
    <w:rsid w:val="00943E3B"/>
    <w:rsid w:val="009448DD"/>
    <w:rsid w:val="00944F04"/>
    <w:rsid w:val="0094556B"/>
    <w:rsid w:val="00945C97"/>
    <w:rsid w:val="0094753A"/>
    <w:rsid w:val="009477BE"/>
    <w:rsid w:val="009500FC"/>
    <w:rsid w:val="009505F3"/>
    <w:rsid w:val="00950935"/>
    <w:rsid w:val="00950C61"/>
    <w:rsid w:val="00950D9E"/>
    <w:rsid w:val="0095191E"/>
    <w:rsid w:val="00951FD6"/>
    <w:rsid w:val="00952152"/>
    <w:rsid w:val="0095245B"/>
    <w:rsid w:val="00953C84"/>
    <w:rsid w:val="00953D1D"/>
    <w:rsid w:val="009540E9"/>
    <w:rsid w:val="009543F4"/>
    <w:rsid w:val="0095441D"/>
    <w:rsid w:val="0095448D"/>
    <w:rsid w:val="009549C0"/>
    <w:rsid w:val="00955279"/>
    <w:rsid w:val="0095646B"/>
    <w:rsid w:val="009564EF"/>
    <w:rsid w:val="009568FB"/>
    <w:rsid w:val="00956A1C"/>
    <w:rsid w:val="00956DB2"/>
    <w:rsid w:val="00956E93"/>
    <w:rsid w:val="00957216"/>
    <w:rsid w:val="00957458"/>
    <w:rsid w:val="0095745A"/>
    <w:rsid w:val="0095771C"/>
    <w:rsid w:val="00957830"/>
    <w:rsid w:val="009579AD"/>
    <w:rsid w:val="00957A64"/>
    <w:rsid w:val="00960696"/>
    <w:rsid w:val="00960A34"/>
    <w:rsid w:val="0096109B"/>
    <w:rsid w:val="00961170"/>
    <w:rsid w:val="00961184"/>
    <w:rsid w:val="0096139C"/>
    <w:rsid w:val="00961674"/>
    <w:rsid w:val="0096230D"/>
    <w:rsid w:val="00962CF8"/>
    <w:rsid w:val="009634E3"/>
    <w:rsid w:val="00963CC2"/>
    <w:rsid w:val="00963EF5"/>
    <w:rsid w:val="009643A1"/>
    <w:rsid w:val="00964FA6"/>
    <w:rsid w:val="00965044"/>
    <w:rsid w:val="00965168"/>
    <w:rsid w:val="00965E93"/>
    <w:rsid w:val="009660C0"/>
    <w:rsid w:val="00966257"/>
    <w:rsid w:val="009662E6"/>
    <w:rsid w:val="00966854"/>
    <w:rsid w:val="009670A4"/>
    <w:rsid w:val="00967392"/>
    <w:rsid w:val="00967C2F"/>
    <w:rsid w:val="0097000A"/>
    <w:rsid w:val="009705A7"/>
    <w:rsid w:val="00970682"/>
    <w:rsid w:val="00970687"/>
    <w:rsid w:val="00970E09"/>
    <w:rsid w:val="009712C7"/>
    <w:rsid w:val="009716CF"/>
    <w:rsid w:val="009717B0"/>
    <w:rsid w:val="00971924"/>
    <w:rsid w:val="009728D9"/>
    <w:rsid w:val="00972C51"/>
    <w:rsid w:val="00972C58"/>
    <w:rsid w:val="00973257"/>
    <w:rsid w:val="009735E3"/>
    <w:rsid w:val="009741D8"/>
    <w:rsid w:val="00974217"/>
    <w:rsid w:val="0097449B"/>
    <w:rsid w:val="00974824"/>
    <w:rsid w:val="00975378"/>
    <w:rsid w:val="00975B84"/>
    <w:rsid w:val="009761C9"/>
    <w:rsid w:val="00977820"/>
    <w:rsid w:val="00977A53"/>
    <w:rsid w:val="00977A72"/>
    <w:rsid w:val="00977CD6"/>
    <w:rsid w:val="0098060C"/>
    <w:rsid w:val="009806AC"/>
    <w:rsid w:val="009807EC"/>
    <w:rsid w:val="00980952"/>
    <w:rsid w:val="00981017"/>
    <w:rsid w:val="00981184"/>
    <w:rsid w:val="00981CBE"/>
    <w:rsid w:val="009823CB"/>
    <w:rsid w:val="0098300B"/>
    <w:rsid w:val="00983463"/>
    <w:rsid w:val="009834DB"/>
    <w:rsid w:val="0098371C"/>
    <w:rsid w:val="00983993"/>
    <w:rsid w:val="009845AF"/>
    <w:rsid w:val="00984B55"/>
    <w:rsid w:val="00984BB7"/>
    <w:rsid w:val="00984C92"/>
    <w:rsid w:val="00984E3D"/>
    <w:rsid w:val="00985C1D"/>
    <w:rsid w:val="00985E62"/>
    <w:rsid w:val="00986627"/>
    <w:rsid w:val="00986747"/>
    <w:rsid w:val="00986902"/>
    <w:rsid w:val="00986935"/>
    <w:rsid w:val="00986C76"/>
    <w:rsid w:val="00990416"/>
    <w:rsid w:val="009908BB"/>
    <w:rsid w:val="00990A4D"/>
    <w:rsid w:val="00990BA2"/>
    <w:rsid w:val="00991262"/>
    <w:rsid w:val="00991362"/>
    <w:rsid w:val="009914AE"/>
    <w:rsid w:val="009914CB"/>
    <w:rsid w:val="00991578"/>
    <w:rsid w:val="00992153"/>
    <w:rsid w:val="00992657"/>
    <w:rsid w:val="00992879"/>
    <w:rsid w:val="00992C4A"/>
    <w:rsid w:val="0099394F"/>
    <w:rsid w:val="00993DC2"/>
    <w:rsid w:val="00994544"/>
    <w:rsid w:val="00994A4C"/>
    <w:rsid w:val="00995292"/>
    <w:rsid w:val="00995636"/>
    <w:rsid w:val="00995C41"/>
    <w:rsid w:val="00995DAD"/>
    <w:rsid w:val="00995F79"/>
    <w:rsid w:val="00995FE3"/>
    <w:rsid w:val="009960A9"/>
    <w:rsid w:val="009965AB"/>
    <w:rsid w:val="009970AF"/>
    <w:rsid w:val="009A0524"/>
    <w:rsid w:val="009A09AF"/>
    <w:rsid w:val="009A1158"/>
    <w:rsid w:val="009A2022"/>
    <w:rsid w:val="009A2364"/>
    <w:rsid w:val="009A261B"/>
    <w:rsid w:val="009A2FC3"/>
    <w:rsid w:val="009A3391"/>
    <w:rsid w:val="009A33A7"/>
    <w:rsid w:val="009A3A91"/>
    <w:rsid w:val="009A3C19"/>
    <w:rsid w:val="009A3CEF"/>
    <w:rsid w:val="009A3EEB"/>
    <w:rsid w:val="009A4F35"/>
    <w:rsid w:val="009A5505"/>
    <w:rsid w:val="009A5EED"/>
    <w:rsid w:val="009A63E8"/>
    <w:rsid w:val="009A6746"/>
    <w:rsid w:val="009A71D8"/>
    <w:rsid w:val="009A7C16"/>
    <w:rsid w:val="009A7DC9"/>
    <w:rsid w:val="009B0444"/>
    <w:rsid w:val="009B09CD"/>
    <w:rsid w:val="009B2554"/>
    <w:rsid w:val="009B25A3"/>
    <w:rsid w:val="009B30A0"/>
    <w:rsid w:val="009B4296"/>
    <w:rsid w:val="009B46A1"/>
    <w:rsid w:val="009B494C"/>
    <w:rsid w:val="009B547D"/>
    <w:rsid w:val="009B56AF"/>
    <w:rsid w:val="009B596E"/>
    <w:rsid w:val="009B613E"/>
    <w:rsid w:val="009B62D9"/>
    <w:rsid w:val="009B6496"/>
    <w:rsid w:val="009B6934"/>
    <w:rsid w:val="009B7CC6"/>
    <w:rsid w:val="009C058B"/>
    <w:rsid w:val="009C0A9A"/>
    <w:rsid w:val="009C1103"/>
    <w:rsid w:val="009C1467"/>
    <w:rsid w:val="009C150D"/>
    <w:rsid w:val="009C19AF"/>
    <w:rsid w:val="009C1E5A"/>
    <w:rsid w:val="009C1E5B"/>
    <w:rsid w:val="009C2000"/>
    <w:rsid w:val="009C230B"/>
    <w:rsid w:val="009C27FC"/>
    <w:rsid w:val="009C2B23"/>
    <w:rsid w:val="009C3186"/>
    <w:rsid w:val="009C37E3"/>
    <w:rsid w:val="009C3A34"/>
    <w:rsid w:val="009C3EE3"/>
    <w:rsid w:val="009C4004"/>
    <w:rsid w:val="009C439E"/>
    <w:rsid w:val="009C43AF"/>
    <w:rsid w:val="009C4829"/>
    <w:rsid w:val="009C48DB"/>
    <w:rsid w:val="009C50A2"/>
    <w:rsid w:val="009C62C2"/>
    <w:rsid w:val="009C643D"/>
    <w:rsid w:val="009C658B"/>
    <w:rsid w:val="009C7DEB"/>
    <w:rsid w:val="009D09E1"/>
    <w:rsid w:val="009D0A2E"/>
    <w:rsid w:val="009D0C10"/>
    <w:rsid w:val="009D0E1E"/>
    <w:rsid w:val="009D0EA8"/>
    <w:rsid w:val="009D0FE3"/>
    <w:rsid w:val="009D1151"/>
    <w:rsid w:val="009D19C2"/>
    <w:rsid w:val="009D1E00"/>
    <w:rsid w:val="009D205A"/>
    <w:rsid w:val="009D22D6"/>
    <w:rsid w:val="009D2368"/>
    <w:rsid w:val="009D240E"/>
    <w:rsid w:val="009D2A6E"/>
    <w:rsid w:val="009D2E93"/>
    <w:rsid w:val="009D2EC9"/>
    <w:rsid w:val="009D36D3"/>
    <w:rsid w:val="009D3B64"/>
    <w:rsid w:val="009D3B6A"/>
    <w:rsid w:val="009D3B72"/>
    <w:rsid w:val="009D452E"/>
    <w:rsid w:val="009D4925"/>
    <w:rsid w:val="009D4D5D"/>
    <w:rsid w:val="009D4E92"/>
    <w:rsid w:val="009D527B"/>
    <w:rsid w:val="009D5EF9"/>
    <w:rsid w:val="009D6559"/>
    <w:rsid w:val="009D7798"/>
    <w:rsid w:val="009D79EF"/>
    <w:rsid w:val="009D7FEB"/>
    <w:rsid w:val="009E14A0"/>
    <w:rsid w:val="009E2016"/>
    <w:rsid w:val="009E23C5"/>
    <w:rsid w:val="009E2793"/>
    <w:rsid w:val="009E2B9E"/>
    <w:rsid w:val="009E3162"/>
    <w:rsid w:val="009E349D"/>
    <w:rsid w:val="009E34A9"/>
    <w:rsid w:val="009E3760"/>
    <w:rsid w:val="009E3850"/>
    <w:rsid w:val="009E3F73"/>
    <w:rsid w:val="009E4146"/>
    <w:rsid w:val="009E4441"/>
    <w:rsid w:val="009E49C5"/>
    <w:rsid w:val="009E49F2"/>
    <w:rsid w:val="009E515D"/>
    <w:rsid w:val="009E5653"/>
    <w:rsid w:val="009E56ED"/>
    <w:rsid w:val="009E5C18"/>
    <w:rsid w:val="009E6195"/>
    <w:rsid w:val="009E6EA0"/>
    <w:rsid w:val="009E6F84"/>
    <w:rsid w:val="009E7033"/>
    <w:rsid w:val="009E710F"/>
    <w:rsid w:val="009E7959"/>
    <w:rsid w:val="009E7C42"/>
    <w:rsid w:val="009F0EBE"/>
    <w:rsid w:val="009F1081"/>
    <w:rsid w:val="009F11FD"/>
    <w:rsid w:val="009F1AF5"/>
    <w:rsid w:val="009F1C93"/>
    <w:rsid w:val="009F205B"/>
    <w:rsid w:val="009F2942"/>
    <w:rsid w:val="009F2B1B"/>
    <w:rsid w:val="009F2C13"/>
    <w:rsid w:val="009F3E20"/>
    <w:rsid w:val="009F4263"/>
    <w:rsid w:val="009F4394"/>
    <w:rsid w:val="009F4596"/>
    <w:rsid w:val="009F46EF"/>
    <w:rsid w:val="009F5695"/>
    <w:rsid w:val="009F56AF"/>
    <w:rsid w:val="009F5ADF"/>
    <w:rsid w:val="009F63B9"/>
    <w:rsid w:val="009F7665"/>
    <w:rsid w:val="009F778C"/>
    <w:rsid w:val="009F7A38"/>
    <w:rsid w:val="00A00150"/>
    <w:rsid w:val="00A0019E"/>
    <w:rsid w:val="00A0088A"/>
    <w:rsid w:val="00A00A44"/>
    <w:rsid w:val="00A00B4B"/>
    <w:rsid w:val="00A00BEC"/>
    <w:rsid w:val="00A00DFA"/>
    <w:rsid w:val="00A019AE"/>
    <w:rsid w:val="00A01BF5"/>
    <w:rsid w:val="00A01CA0"/>
    <w:rsid w:val="00A0211A"/>
    <w:rsid w:val="00A02176"/>
    <w:rsid w:val="00A0261C"/>
    <w:rsid w:val="00A02E8A"/>
    <w:rsid w:val="00A02F39"/>
    <w:rsid w:val="00A036F2"/>
    <w:rsid w:val="00A03705"/>
    <w:rsid w:val="00A0398A"/>
    <w:rsid w:val="00A03D2E"/>
    <w:rsid w:val="00A048F6"/>
    <w:rsid w:val="00A04D22"/>
    <w:rsid w:val="00A059CB"/>
    <w:rsid w:val="00A05ECC"/>
    <w:rsid w:val="00A05FDD"/>
    <w:rsid w:val="00A0625C"/>
    <w:rsid w:val="00A0669A"/>
    <w:rsid w:val="00A0695C"/>
    <w:rsid w:val="00A06A58"/>
    <w:rsid w:val="00A070B3"/>
    <w:rsid w:val="00A0724A"/>
    <w:rsid w:val="00A072C0"/>
    <w:rsid w:val="00A0790C"/>
    <w:rsid w:val="00A07EC4"/>
    <w:rsid w:val="00A105C2"/>
    <w:rsid w:val="00A118A0"/>
    <w:rsid w:val="00A11DBA"/>
    <w:rsid w:val="00A121C9"/>
    <w:rsid w:val="00A12678"/>
    <w:rsid w:val="00A12C10"/>
    <w:rsid w:val="00A12C49"/>
    <w:rsid w:val="00A1300E"/>
    <w:rsid w:val="00A13469"/>
    <w:rsid w:val="00A13AD8"/>
    <w:rsid w:val="00A13B88"/>
    <w:rsid w:val="00A13DF4"/>
    <w:rsid w:val="00A142C8"/>
    <w:rsid w:val="00A14D2A"/>
    <w:rsid w:val="00A14E89"/>
    <w:rsid w:val="00A151E0"/>
    <w:rsid w:val="00A1559E"/>
    <w:rsid w:val="00A15A8A"/>
    <w:rsid w:val="00A16547"/>
    <w:rsid w:val="00A168C6"/>
    <w:rsid w:val="00A16C0C"/>
    <w:rsid w:val="00A16FAC"/>
    <w:rsid w:val="00A1705D"/>
    <w:rsid w:val="00A1711A"/>
    <w:rsid w:val="00A175F3"/>
    <w:rsid w:val="00A17963"/>
    <w:rsid w:val="00A20970"/>
    <w:rsid w:val="00A20D6C"/>
    <w:rsid w:val="00A2118E"/>
    <w:rsid w:val="00A2130B"/>
    <w:rsid w:val="00A213BC"/>
    <w:rsid w:val="00A2169C"/>
    <w:rsid w:val="00A217B3"/>
    <w:rsid w:val="00A21FEE"/>
    <w:rsid w:val="00A22267"/>
    <w:rsid w:val="00A222D1"/>
    <w:rsid w:val="00A222F3"/>
    <w:rsid w:val="00A224F6"/>
    <w:rsid w:val="00A22D88"/>
    <w:rsid w:val="00A22F30"/>
    <w:rsid w:val="00A22FDD"/>
    <w:rsid w:val="00A232D1"/>
    <w:rsid w:val="00A235FF"/>
    <w:rsid w:val="00A238EC"/>
    <w:rsid w:val="00A23BF2"/>
    <w:rsid w:val="00A2476B"/>
    <w:rsid w:val="00A24864"/>
    <w:rsid w:val="00A249B8"/>
    <w:rsid w:val="00A24F0B"/>
    <w:rsid w:val="00A2570A"/>
    <w:rsid w:val="00A2582F"/>
    <w:rsid w:val="00A259C5"/>
    <w:rsid w:val="00A25BA2"/>
    <w:rsid w:val="00A26112"/>
    <w:rsid w:val="00A26652"/>
    <w:rsid w:val="00A26AA4"/>
    <w:rsid w:val="00A2712F"/>
    <w:rsid w:val="00A2769D"/>
    <w:rsid w:val="00A27B0F"/>
    <w:rsid w:val="00A27DBE"/>
    <w:rsid w:val="00A27E98"/>
    <w:rsid w:val="00A30545"/>
    <w:rsid w:val="00A30A01"/>
    <w:rsid w:val="00A30B82"/>
    <w:rsid w:val="00A30BE0"/>
    <w:rsid w:val="00A30F3A"/>
    <w:rsid w:val="00A31910"/>
    <w:rsid w:val="00A319C3"/>
    <w:rsid w:val="00A31DC1"/>
    <w:rsid w:val="00A320B3"/>
    <w:rsid w:val="00A3247C"/>
    <w:rsid w:val="00A326C6"/>
    <w:rsid w:val="00A326F8"/>
    <w:rsid w:val="00A3280D"/>
    <w:rsid w:val="00A32B2E"/>
    <w:rsid w:val="00A32C80"/>
    <w:rsid w:val="00A337E5"/>
    <w:rsid w:val="00A3420B"/>
    <w:rsid w:val="00A346BE"/>
    <w:rsid w:val="00A3498A"/>
    <w:rsid w:val="00A34F98"/>
    <w:rsid w:val="00A35EE9"/>
    <w:rsid w:val="00A3650A"/>
    <w:rsid w:val="00A365CE"/>
    <w:rsid w:val="00A3675B"/>
    <w:rsid w:val="00A368EA"/>
    <w:rsid w:val="00A36BD3"/>
    <w:rsid w:val="00A374D7"/>
    <w:rsid w:val="00A3780B"/>
    <w:rsid w:val="00A37854"/>
    <w:rsid w:val="00A37B60"/>
    <w:rsid w:val="00A37BD9"/>
    <w:rsid w:val="00A37FED"/>
    <w:rsid w:val="00A40876"/>
    <w:rsid w:val="00A409CE"/>
    <w:rsid w:val="00A40C04"/>
    <w:rsid w:val="00A410A5"/>
    <w:rsid w:val="00A411AC"/>
    <w:rsid w:val="00A411EF"/>
    <w:rsid w:val="00A4127B"/>
    <w:rsid w:val="00A4182E"/>
    <w:rsid w:val="00A41D6D"/>
    <w:rsid w:val="00A426FC"/>
    <w:rsid w:val="00A4273A"/>
    <w:rsid w:val="00A42BC7"/>
    <w:rsid w:val="00A42F99"/>
    <w:rsid w:val="00A43144"/>
    <w:rsid w:val="00A43ED6"/>
    <w:rsid w:val="00A446E1"/>
    <w:rsid w:val="00A44BCE"/>
    <w:rsid w:val="00A44C0D"/>
    <w:rsid w:val="00A44C28"/>
    <w:rsid w:val="00A450E8"/>
    <w:rsid w:val="00A45204"/>
    <w:rsid w:val="00A45885"/>
    <w:rsid w:val="00A45B3D"/>
    <w:rsid w:val="00A463EC"/>
    <w:rsid w:val="00A465FB"/>
    <w:rsid w:val="00A4728B"/>
    <w:rsid w:val="00A47486"/>
    <w:rsid w:val="00A47547"/>
    <w:rsid w:val="00A47E78"/>
    <w:rsid w:val="00A5022E"/>
    <w:rsid w:val="00A505D8"/>
    <w:rsid w:val="00A50863"/>
    <w:rsid w:val="00A509A5"/>
    <w:rsid w:val="00A50F89"/>
    <w:rsid w:val="00A51B68"/>
    <w:rsid w:val="00A51B9C"/>
    <w:rsid w:val="00A5217A"/>
    <w:rsid w:val="00A52ACC"/>
    <w:rsid w:val="00A54B80"/>
    <w:rsid w:val="00A54C32"/>
    <w:rsid w:val="00A54EE8"/>
    <w:rsid w:val="00A5527F"/>
    <w:rsid w:val="00A5561E"/>
    <w:rsid w:val="00A557AE"/>
    <w:rsid w:val="00A55F1E"/>
    <w:rsid w:val="00A55F7C"/>
    <w:rsid w:val="00A56ABA"/>
    <w:rsid w:val="00A56D8C"/>
    <w:rsid w:val="00A56DB0"/>
    <w:rsid w:val="00A573F1"/>
    <w:rsid w:val="00A57685"/>
    <w:rsid w:val="00A576E5"/>
    <w:rsid w:val="00A579E5"/>
    <w:rsid w:val="00A57B11"/>
    <w:rsid w:val="00A57DF2"/>
    <w:rsid w:val="00A57EB1"/>
    <w:rsid w:val="00A60C97"/>
    <w:rsid w:val="00A60F1F"/>
    <w:rsid w:val="00A6133D"/>
    <w:rsid w:val="00A614D3"/>
    <w:rsid w:val="00A617ED"/>
    <w:rsid w:val="00A6195C"/>
    <w:rsid w:val="00A61C5B"/>
    <w:rsid w:val="00A62022"/>
    <w:rsid w:val="00A6335A"/>
    <w:rsid w:val="00A63C55"/>
    <w:rsid w:val="00A64804"/>
    <w:rsid w:val="00A649C1"/>
    <w:rsid w:val="00A65055"/>
    <w:rsid w:val="00A656C4"/>
    <w:rsid w:val="00A6664E"/>
    <w:rsid w:val="00A6691F"/>
    <w:rsid w:val="00A67F87"/>
    <w:rsid w:val="00A70EBF"/>
    <w:rsid w:val="00A71097"/>
    <w:rsid w:val="00A7267E"/>
    <w:rsid w:val="00A72801"/>
    <w:rsid w:val="00A72E42"/>
    <w:rsid w:val="00A73474"/>
    <w:rsid w:val="00A73575"/>
    <w:rsid w:val="00A7367A"/>
    <w:rsid w:val="00A73AA2"/>
    <w:rsid w:val="00A73C78"/>
    <w:rsid w:val="00A73DCD"/>
    <w:rsid w:val="00A7435F"/>
    <w:rsid w:val="00A7456D"/>
    <w:rsid w:val="00A745F4"/>
    <w:rsid w:val="00A74804"/>
    <w:rsid w:val="00A7499C"/>
    <w:rsid w:val="00A74D42"/>
    <w:rsid w:val="00A74DA1"/>
    <w:rsid w:val="00A74F6A"/>
    <w:rsid w:val="00A75330"/>
    <w:rsid w:val="00A7560A"/>
    <w:rsid w:val="00A75865"/>
    <w:rsid w:val="00A758C0"/>
    <w:rsid w:val="00A7650C"/>
    <w:rsid w:val="00A765B2"/>
    <w:rsid w:val="00A76C65"/>
    <w:rsid w:val="00A772CB"/>
    <w:rsid w:val="00A772D1"/>
    <w:rsid w:val="00A774D3"/>
    <w:rsid w:val="00A80739"/>
    <w:rsid w:val="00A81051"/>
    <w:rsid w:val="00A81B41"/>
    <w:rsid w:val="00A81BC1"/>
    <w:rsid w:val="00A81E86"/>
    <w:rsid w:val="00A82AFB"/>
    <w:rsid w:val="00A82B66"/>
    <w:rsid w:val="00A82E47"/>
    <w:rsid w:val="00A83013"/>
    <w:rsid w:val="00A83478"/>
    <w:rsid w:val="00A83AD5"/>
    <w:rsid w:val="00A84026"/>
    <w:rsid w:val="00A84960"/>
    <w:rsid w:val="00A84D01"/>
    <w:rsid w:val="00A84D1F"/>
    <w:rsid w:val="00A8524D"/>
    <w:rsid w:val="00A857DA"/>
    <w:rsid w:val="00A86C82"/>
    <w:rsid w:val="00A86DD9"/>
    <w:rsid w:val="00A8708D"/>
    <w:rsid w:val="00A87451"/>
    <w:rsid w:val="00A87A15"/>
    <w:rsid w:val="00A87C7B"/>
    <w:rsid w:val="00A87D30"/>
    <w:rsid w:val="00A90708"/>
    <w:rsid w:val="00A908B2"/>
    <w:rsid w:val="00A90C58"/>
    <w:rsid w:val="00A92193"/>
    <w:rsid w:val="00A92A22"/>
    <w:rsid w:val="00A93464"/>
    <w:rsid w:val="00A93CA6"/>
    <w:rsid w:val="00A93D5E"/>
    <w:rsid w:val="00A942DA"/>
    <w:rsid w:val="00A9477B"/>
    <w:rsid w:val="00A9482E"/>
    <w:rsid w:val="00A94DE5"/>
    <w:rsid w:val="00A95022"/>
    <w:rsid w:val="00A953B0"/>
    <w:rsid w:val="00A95435"/>
    <w:rsid w:val="00A958B9"/>
    <w:rsid w:val="00A95DB3"/>
    <w:rsid w:val="00A95E9B"/>
    <w:rsid w:val="00A9610B"/>
    <w:rsid w:val="00A9763D"/>
    <w:rsid w:val="00A97D0C"/>
    <w:rsid w:val="00AA01EB"/>
    <w:rsid w:val="00AA0B2B"/>
    <w:rsid w:val="00AA0F60"/>
    <w:rsid w:val="00AA1005"/>
    <w:rsid w:val="00AA17A8"/>
    <w:rsid w:val="00AA228F"/>
    <w:rsid w:val="00AA254E"/>
    <w:rsid w:val="00AA2A33"/>
    <w:rsid w:val="00AA2B07"/>
    <w:rsid w:val="00AA2B97"/>
    <w:rsid w:val="00AA3101"/>
    <w:rsid w:val="00AA3B18"/>
    <w:rsid w:val="00AA3D9B"/>
    <w:rsid w:val="00AA4072"/>
    <w:rsid w:val="00AA407C"/>
    <w:rsid w:val="00AA4819"/>
    <w:rsid w:val="00AA4CC1"/>
    <w:rsid w:val="00AA553F"/>
    <w:rsid w:val="00AA5547"/>
    <w:rsid w:val="00AA5B6E"/>
    <w:rsid w:val="00AA66C1"/>
    <w:rsid w:val="00AA67CF"/>
    <w:rsid w:val="00AA68B8"/>
    <w:rsid w:val="00AA6D0B"/>
    <w:rsid w:val="00AA712E"/>
    <w:rsid w:val="00AA7833"/>
    <w:rsid w:val="00AA7A83"/>
    <w:rsid w:val="00AB0301"/>
    <w:rsid w:val="00AB050B"/>
    <w:rsid w:val="00AB0E64"/>
    <w:rsid w:val="00AB13D3"/>
    <w:rsid w:val="00AB147B"/>
    <w:rsid w:val="00AB1557"/>
    <w:rsid w:val="00AB1670"/>
    <w:rsid w:val="00AB207D"/>
    <w:rsid w:val="00AB2636"/>
    <w:rsid w:val="00AB2AFD"/>
    <w:rsid w:val="00AB30B6"/>
    <w:rsid w:val="00AB31BA"/>
    <w:rsid w:val="00AB32D6"/>
    <w:rsid w:val="00AB3683"/>
    <w:rsid w:val="00AB3A93"/>
    <w:rsid w:val="00AB40F2"/>
    <w:rsid w:val="00AB4244"/>
    <w:rsid w:val="00AB4675"/>
    <w:rsid w:val="00AB494A"/>
    <w:rsid w:val="00AB49D6"/>
    <w:rsid w:val="00AB5351"/>
    <w:rsid w:val="00AB5639"/>
    <w:rsid w:val="00AB5810"/>
    <w:rsid w:val="00AB5A18"/>
    <w:rsid w:val="00AB63DF"/>
    <w:rsid w:val="00AB669B"/>
    <w:rsid w:val="00AB6FB9"/>
    <w:rsid w:val="00AB7721"/>
    <w:rsid w:val="00AC0143"/>
    <w:rsid w:val="00AC0553"/>
    <w:rsid w:val="00AC2915"/>
    <w:rsid w:val="00AC3539"/>
    <w:rsid w:val="00AC3D32"/>
    <w:rsid w:val="00AC449E"/>
    <w:rsid w:val="00AC4AAD"/>
    <w:rsid w:val="00AC4E56"/>
    <w:rsid w:val="00AC4F04"/>
    <w:rsid w:val="00AC4F95"/>
    <w:rsid w:val="00AC53DC"/>
    <w:rsid w:val="00AC54CC"/>
    <w:rsid w:val="00AC57BF"/>
    <w:rsid w:val="00AC5DC5"/>
    <w:rsid w:val="00AC6331"/>
    <w:rsid w:val="00AC660F"/>
    <w:rsid w:val="00AC7357"/>
    <w:rsid w:val="00AC7BFA"/>
    <w:rsid w:val="00AC7DDB"/>
    <w:rsid w:val="00AD0045"/>
    <w:rsid w:val="00AD006E"/>
    <w:rsid w:val="00AD044C"/>
    <w:rsid w:val="00AD0871"/>
    <w:rsid w:val="00AD0881"/>
    <w:rsid w:val="00AD0C8D"/>
    <w:rsid w:val="00AD1052"/>
    <w:rsid w:val="00AD19F5"/>
    <w:rsid w:val="00AD1CF5"/>
    <w:rsid w:val="00AD2982"/>
    <w:rsid w:val="00AD2DDB"/>
    <w:rsid w:val="00AD3ABF"/>
    <w:rsid w:val="00AD4213"/>
    <w:rsid w:val="00AD4963"/>
    <w:rsid w:val="00AD4A8B"/>
    <w:rsid w:val="00AD511B"/>
    <w:rsid w:val="00AD5492"/>
    <w:rsid w:val="00AD5B88"/>
    <w:rsid w:val="00AD5E44"/>
    <w:rsid w:val="00AD641C"/>
    <w:rsid w:val="00AD65B0"/>
    <w:rsid w:val="00AD6B0A"/>
    <w:rsid w:val="00AD6ED8"/>
    <w:rsid w:val="00AD70C7"/>
    <w:rsid w:val="00AD7398"/>
    <w:rsid w:val="00AD7CEB"/>
    <w:rsid w:val="00AE0219"/>
    <w:rsid w:val="00AE0A6B"/>
    <w:rsid w:val="00AE1119"/>
    <w:rsid w:val="00AE1499"/>
    <w:rsid w:val="00AE20B3"/>
    <w:rsid w:val="00AE21D9"/>
    <w:rsid w:val="00AE24DD"/>
    <w:rsid w:val="00AE3303"/>
    <w:rsid w:val="00AE350C"/>
    <w:rsid w:val="00AE37BB"/>
    <w:rsid w:val="00AE39F7"/>
    <w:rsid w:val="00AE3AC1"/>
    <w:rsid w:val="00AE41E1"/>
    <w:rsid w:val="00AE47F9"/>
    <w:rsid w:val="00AE4CC1"/>
    <w:rsid w:val="00AE4EA3"/>
    <w:rsid w:val="00AE5999"/>
    <w:rsid w:val="00AE5E89"/>
    <w:rsid w:val="00AE6361"/>
    <w:rsid w:val="00AE6421"/>
    <w:rsid w:val="00AE70C9"/>
    <w:rsid w:val="00AE7351"/>
    <w:rsid w:val="00AE7778"/>
    <w:rsid w:val="00AE785D"/>
    <w:rsid w:val="00AF019A"/>
    <w:rsid w:val="00AF04D7"/>
    <w:rsid w:val="00AF0FE8"/>
    <w:rsid w:val="00AF13A7"/>
    <w:rsid w:val="00AF16CA"/>
    <w:rsid w:val="00AF1EED"/>
    <w:rsid w:val="00AF219D"/>
    <w:rsid w:val="00AF2345"/>
    <w:rsid w:val="00AF2707"/>
    <w:rsid w:val="00AF2795"/>
    <w:rsid w:val="00AF2900"/>
    <w:rsid w:val="00AF2B06"/>
    <w:rsid w:val="00AF2B4A"/>
    <w:rsid w:val="00AF2D91"/>
    <w:rsid w:val="00AF2EC8"/>
    <w:rsid w:val="00AF304A"/>
    <w:rsid w:val="00AF335A"/>
    <w:rsid w:val="00AF3956"/>
    <w:rsid w:val="00AF4066"/>
    <w:rsid w:val="00AF4A9F"/>
    <w:rsid w:val="00AF53B8"/>
    <w:rsid w:val="00AF560B"/>
    <w:rsid w:val="00AF5B5D"/>
    <w:rsid w:val="00AF5CCE"/>
    <w:rsid w:val="00AF5CD0"/>
    <w:rsid w:val="00AF5F68"/>
    <w:rsid w:val="00AF5F97"/>
    <w:rsid w:val="00AF6184"/>
    <w:rsid w:val="00AF6398"/>
    <w:rsid w:val="00AF63AE"/>
    <w:rsid w:val="00AF6592"/>
    <w:rsid w:val="00AF6CE5"/>
    <w:rsid w:val="00AF6D49"/>
    <w:rsid w:val="00AF6F6E"/>
    <w:rsid w:val="00AF72DD"/>
    <w:rsid w:val="00AF7A0C"/>
    <w:rsid w:val="00AF7D9A"/>
    <w:rsid w:val="00B01560"/>
    <w:rsid w:val="00B017E1"/>
    <w:rsid w:val="00B01853"/>
    <w:rsid w:val="00B01C20"/>
    <w:rsid w:val="00B020AC"/>
    <w:rsid w:val="00B02403"/>
    <w:rsid w:val="00B02468"/>
    <w:rsid w:val="00B032BD"/>
    <w:rsid w:val="00B0358C"/>
    <w:rsid w:val="00B039BA"/>
    <w:rsid w:val="00B0439E"/>
    <w:rsid w:val="00B04583"/>
    <w:rsid w:val="00B051A8"/>
    <w:rsid w:val="00B05534"/>
    <w:rsid w:val="00B05C7B"/>
    <w:rsid w:val="00B065A5"/>
    <w:rsid w:val="00B06D3C"/>
    <w:rsid w:val="00B06EBB"/>
    <w:rsid w:val="00B072CF"/>
    <w:rsid w:val="00B077E8"/>
    <w:rsid w:val="00B07A84"/>
    <w:rsid w:val="00B10025"/>
    <w:rsid w:val="00B1011C"/>
    <w:rsid w:val="00B1029F"/>
    <w:rsid w:val="00B10481"/>
    <w:rsid w:val="00B11351"/>
    <w:rsid w:val="00B1153C"/>
    <w:rsid w:val="00B119DE"/>
    <w:rsid w:val="00B11AE1"/>
    <w:rsid w:val="00B11C74"/>
    <w:rsid w:val="00B11DD4"/>
    <w:rsid w:val="00B12186"/>
    <w:rsid w:val="00B12322"/>
    <w:rsid w:val="00B12987"/>
    <w:rsid w:val="00B13416"/>
    <w:rsid w:val="00B1401F"/>
    <w:rsid w:val="00B155D3"/>
    <w:rsid w:val="00B158BB"/>
    <w:rsid w:val="00B15B3F"/>
    <w:rsid w:val="00B16547"/>
    <w:rsid w:val="00B16690"/>
    <w:rsid w:val="00B16E93"/>
    <w:rsid w:val="00B16EAC"/>
    <w:rsid w:val="00B17101"/>
    <w:rsid w:val="00B172DA"/>
    <w:rsid w:val="00B1740B"/>
    <w:rsid w:val="00B17609"/>
    <w:rsid w:val="00B176E8"/>
    <w:rsid w:val="00B20242"/>
    <w:rsid w:val="00B207E5"/>
    <w:rsid w:val="00B20AA5"/>
    <w:rsid w:val="00B21374"/>
    <w:rsid w:val="00B21ACA"/>
    <w:rsid w:val="00B21D72"/>
    <w:rsid w:val="00B21E35"/>
    <w:rsid w:val="00B22543"/>
    <w:rsid w:val="00B22784"/>
    <w:rsid w:val="00B22E11"/>
    <w:rsid w:val="00B23255"/>
    <w:rsid w:val="00B232C3"/>
    <w:rsid w:val="00B24615"/>
    <w:rsid w:val="00B24B15"/>
    <w:rsid w:val="00B24E83"/>
    <w:rsid w:val="00B252FD"/>
    <w:rsid w:val="00B25939"/>
    <w:rsid w:val="00B25CE4"/>
    <w:rsid w:val="00B26103"/>
    <w:rsid w:val="00B26390"/>
    <w:rsid w:val="00B267C6"/>
    <w:rsid w:val="00B26853"/>
    <w:rsid w:val="00B269B0"/>
    <w:rsid w:val="00B26A37"/>
    <w:rsid w:val="00B27613"/>
    <w:rsid w:val="00B2777D"/>
    <w:rsid w:val="00B277EE"/>
    <w:rsid w:val="00B27BAD"/>
    <w:rsid w:val="00B300B7"/>
    <w:rsid w:val="00B30CD5"/>
    <w:rsid w:val="00B30D6B"/>
    <w:rsid w:val="00B30D71"/>
    <w:rsid w:val="00B30E6B"/>
    <w:rsid w:val="00B3101D"/>
    <w:rsid w:val="00B315D8"/>
    <w:rsid w:val="00B317D3"/>
    <w:rsid w:val="00B319F3"/>
    <w:rsid w:val="00B31A2D"/>
    <w:rsid w:val="00B31D04"/>
    <w:rsid w:val="00B31DBA"/>
    <w:rsid w:val="00B31EB0"/>
    <w:rsid w:val="00B32100"/>
    <w:rsid w:val="00B32AFF"/>
    <w:rsid w:val="00B32D53"/>
    <w:rsid w:val="00B32DC7"/>
    <w:rsid w:val="00B3342B"/>
    <w:rsid w:val="00B33752"/>
    <w:rsid w:val="00B33CEF"/>
    <w:rsid w:val="00B34037"/>
    <w:rsid w:val="00B34346"/>
    <w:rsid w:val="00B34C1E"/>
    <w:rsid w:val="00B34DFF"/>
    <w:rsid w:val="00B34EB9"/>
    <w:rsid w:val="00B35A3D"/>
    <w:rsid w:val="00B35E6F"/>
    <w:rsid w:val="00B36275"/>
    <w:rsid w:val="00B365F9"/>
    <w:rsid w:val="00B36960"/>
    <w:rsid w:val="00B36AB5"/>
    <w:rsid w:val="00B36E34"/>
    <w:rsid w:val="00B37415"/>
    <w:rsid w:val="00B37F5F"/>
    <w:rsid w:val="00B37FBE"/>
    <w:rsid w:val="00B404B1"/>
    <w:rsid w:val="00B404C6"/>
    <w:rsid w:val="00B40889"/>
    <w:rsid w:val="00B40E8C"/>
    <w:rsid w:val="00B40FE3"/>
    <w:rsid w:val="00B41114"/>
    <w:rsid w:val="00B413E9"/>
    <w:rsid w:val="00B4147C"/>
    <w:rsid w:val="00B417FA"/>
    <w:rsid w:val="00B4189F"/>
    <w:rsid w:val="00B41BB4"/>
    <w:rsid w:val="00B41F7A"/>
    <w:rsid w:val="00B42578"/>
    <w:rsid w:val="00B42CCC"/>
    <w:rsid w:val="00B432D1"/>
    <w:rsid w:val="00B44102"/>
    <w:rsid w:val="00B446AE"/>
    <w:rsid w:val="00B44BEF"/>
    <w:rsid w:val="00B45263"/>
    <w:rsid w:val="00B45A32"/>
    <w:rsid w:val="00B46591"/>
    <w:rsid w:val="00B46693"/>
    <w:rsid w:val="00B4678A"/>
    <w:rsid w:val="00B46B3A"/>
    <w:rsid w:val="00B47540"/>
    <w:rsid w:val="00B4778D"/>
    <w:rsid w:val="00B47F07"/>
    <w:rsid w:val="00B47F0F"/>
    <w:rsid w:val="00B50123"/>
    <w:rsid w:val="00B50F65"/>
    <w:rsid w:val="00B51376"/>
    <w:rsid w:val="00B51B95"/>
    <w:rsid w:val="00B51E2D"/>
    <w:rsid w:val="00B52F34"/>
    <w:rsid w:val="00B53304"/>
    <w:rsid w:val="00B536B4"/>
    <w:rsid w:val="00B5422B"/>
    <w:rsid w:val="00B558F0"/>
    <w:rsid w:val="00B55BA6"/>
    <w:rsid w:val="00B56147"/>
    <w:rsid w:val="00B563DE"/>
    <w:rsid w:val="00B566B9"/>
    <w:rsid w:val="00B567C4"/>
    <w:rsid w:val="00B568C9"/>
    <w:rsid w:val="00B56B7D"/>
    <w:rsid w:val="00B57764"/>
    <w:rsid w:val="00B60775"/>
    <w:rsid w:val="00B60BBE"/>
    <w:rsid w:val="00B61298"/>
    <w:rsid w:val="00B61702"/>
    <w:rsid w:val="00B61F88"/>
    <w:rsid w:val="00B62ACE"/>
    <w:rsid w:val="00B6324D"/>
    <w:rsid w:val="00B6389C"/>
    <w:rsid w:val="00B63A96"/>
    <w:rsid w:val="00B63B38"/>
    <w:rsid w:val="00B63DA9"/>
    <w:rsid w:val="00B63F8E"/>
    <w:rsid w:val="00B64511"/>
    <w:rsid w:val="00B648C6"/>
    <w:rsid w:val="00B6497D"/>
    <w:rsid w:val="00B64B6B"/>
    <w:rsid w:val="00B64E76"/>
    <w:rsid w:val="00B650C2"/>
    <w:rsid w:val="00B65BD5"/>
    <w:rsid w:val="00B6629A"/>
    <w:rsid w:val="00B6688A"/>
    <w:rsid w:val="00B670E1"/>
    <w:rsid w:val="00B679E2"/>
    <w:rsid w:val="00B7054D"/>
    <w:rsid w:val="00B70567"/>
    <w:rsid w:val="00B70740"/>
    <w:rsid w:val="00B70D4D"/>
    <w:rsid w:val="00B70DD5"/>
    <w:rsid w:val="00B70FF7"/>
    <w:rsid w:val="00B711F7"/>
    <w:rsid w:val="00B71656"/>
    <w:rsid w:val="00B7176D"/>
    <w:rsid w:val="00B719BE"/>
    <w:rsid w:val="00B71E8E"/>
    <w:rsid w:val="00B724D3"/>
    <w:rsid w:val="00B729DF"/>
    <w:rsid w:val="00B72DB4"/>
    <w:rsid w:val="00B72DDE"/>
    <w:rsid w:val="00B72E1B"/>
    <w:rsid w:val="00B72EC1"/>
    <w:rsid w:val="00B73ACD"/>
    <w:rsid w:val="00B741E5"/>
    <w:rsid w:val="00B74776"/>
    <w:rsid w:val="00B74786"/>
    <w:rsid w:val="00B74B4C"/>
    <w:rsid w:val="00B75213"/>
    <w:rsid w:val="00B75499"/>
    <w:rsid w:val="00B75D46"/>
    <w:rsid w:val="00B767B9"/>
    <w:rsid w:val="00B768CC"/>
    <w:rsid w:val="00B769C8"/>
    <w:rsid w:val="00B773BE"/>
    <w:rsid w:val="00B77F1A"/>
    <w:rsid w:val="00B80387"/>
    <w:rsid w:val="00B80F5B"/>
    <w:rsid w:val="00B81306"/>
    <w:rsid w:val="00B81971"/>
    <w:rsid w:val="00B81EC7"/>
    <w:rsid w:val="00B81FC4"/>
    <w:rsid w:val="00B821BF"/>
    <w:rsid w:val="00B8250E"/>
    <w:rsid w:val="00B828CB"/>
    <w:rsid w:val="00B83718"/>
    <w:rsid w:val="00B83F5E"/>
    <w:rsid w:val="00B84411"/>
    <w:rsid w:val="00B845DA"/>
    <w:rsid w:val="00B84A3A"/>
    <w:rsid w:val="00B85076"/>
    <w:rsid w:val="00B8587D"/>
    <w:rsid w:val="00B85FC7"/>
    <w:rsid w:val="00B86029"/>
    <w:rsid w:val="00B8690F"/>
    <w:rsid w:val="00B86BF7"/>
    <w:rsid w:val="00B872DB"/>
    <w:rsid w:val="00B87357"/>
    <w:rsid w:val="00B87C43"/>
    <w:rsid w:val="00B905E9"/>
    <w:rsid w:val="00B907E3"/>
    <w:rsid w:val="00B90B2D"/>
    <w:rsid w:val="00B90D35"/>
    <w:rsid w:val="00B912F3"/>
    <w:rsid w:val="00B91708"/>
    <w:rsid w:val="00B91E65"/>
    <w:rsid w:val="00B9265C"/>
    <w:rsid w:val="00B926CF"/>
    <w:rsid w:val="00B92A95"/>
    <w:rsid w:val="00B9324D"/>
    <w:rsid w:val="00B934D5"/>
    <w:rsid w:val="00B93713"/>
    <w:rsid w:val="00B93857"/>
    <w:rsid w:val="00B93D54"/>
    <w:rsid w:val="00B93EA0"/>
    <w:rsid w:val="00B943A0"/>
    <w:rsid w:val="00B94590"/>
    <w:rsid w:val="00B94D9E"/>
    <w:rsid w:val="00B94E2F"/>
    <w:rsid w:val="00B95B95"/>
    <w:rsid w:val="00B95D63"/>
    <w:rsid w:val="00B965AB"/>
    <w:rsid w:val="00B96700"/>
    <w:rsid w:val="00B96B80"/>
    <w:rsid w:val="00B96C08"/>
    <w:rsid w:val="00B96D27"/>
    <w:rsid w:val="00B97775"/>
    <w:rsid w:val="00B97B63"/>
    <w:rsid w:val="00B97E98"/>
    <w:rsid w:val="00BA011C"/>
    <w:rsid w:val="00BA0366"/>
    <w:rsid w:val="00BA0B8C"/>
    <w:rsid w:val="00BA0C32"/>
    <w:rsid w:val="00BA0F62"/>
    <w:rsid w:val="00BA255D"/>
    <w:rsid w:val="00BA2B27"/>
    <w:rsid w:val="00BA31B0"/>
    <w:rsid w:val="00BA36E0"/>
    <w:rsid w:val="00BA40BF"/>
    <w:rsid w:val="00BA4567"/>
    <w:rsid w:val="00BA4822"/>
    <w:rsid w:val="00BA482A"/>
    <w:rsid w:val="00BA4A6A"/>
    <w:rsid w:val="00BA53C1"/>
    <w:rsid w:val="00BA5D0C"/>
    <w:rsid w:val="00BA67FA"/>
    <w:rsid w:val="00BA7335"/>
    <w:rsid w:val="00BA7953"/>
    <w:rsid w:val="00BA79C8"/>
    <w:rsid w:val="00BA7B17"/>
    <w:rsid w:val="00BB0433"/>
    <w:rsid w:val="00BB04AD"/>
    <w:rsid w:val="00BB0AD8"/>
    <w:rsid w:val="00BB0CA2"/>
    <w:rsid w:val="00BB1039"/>
    <w:rsid w:val="00BB2670"/>
    <w:rsid w:val="00BB2A99"/>
    <w:rsid w:val="00BB2B3D"/>
    <w:rsid w:val="00BB33D6"/>
    <w:rsid w:val="00BB37CF"/>
    <w:rsid w:val="00BB39FE"/>
    <w:rsid w:val="00BB3FC5"/>
    <w:rsid w:val="00BB43BF"/>
    <w:rsid w:val="00BB440E"/>
    <w:rsid w:val="00BB44B6"/>
    <w:rsid w:val="00BB47A5"/>
    <w:rsid w:val="00BB51A5"/>
    <w:rsid w:val="00BB5233"/>
    <w:rsid w:val="00BB58CC"/>
    <w:rsid w:val="00BB59C0"/>
    <w:rsid w:val="00BB5B85"/>
    <w:rsid w:val="00BB5BF7"/>
    <w:rsid w:val="00BB5CEA"/>
    <w:rsid w:val="00BB5E32"/>
    <w:rsid w:val="00BB5FE7"/>
    <w:rsid w:val="00BB6073"/>
    <w:rsid w:val="00BB64E2"/>
    <w:rsid w:val="00BB6ED2"/>
    <w:rsid w:val="00BB728C"/>
    <w:rsid w:val="00BB74DE"/>
    <w:rsid w:val="00BB7B08"/>
    <w:rsid w:val="00BB7C25"/>
    <w:rsid w:val="00BC00D5"/>
    <w:rsid w:val="00BC0771"/>
    <w:rsid w:val="00BC0831"/>
    <w:rsid w:val="00BC0977"/>
    <w:rsid w:val="00BC0CCE"/>
    <w:rsid w:val="00BC11AD"/>
    <w:rsid w:val="00BC1C8D"/>
    <w:rsid w:val="00BC22E2"/>
    <w:rsid w:val="00BC2B34"/>
    <w:rsid w:val="00BC2EB8"/>
    <w:rsid w:val="00BC3611"/>
    <w:rsid w:val="00BC3707"/>
    <w:rsid w:val="00BC3A24"/>
    <w:rsid w:val="00BC3A61"/>
    <w:rsid w:val="00BC4D32"/>
    <w:rsid w:val="00BC4F59"/>
    <w:rsid w:val="00BC562F"/>
    <w:rsid w:val="00BC5AB1"/>
    <w:rsid w:val="00BC5C1D"/>
    <w:rsid w:val="00BC6C68"/>
    <w:rsid w:val="00BC79B5"/>
    <w:rsid w:val="00BC7B0A"/>
    <w:rsid w:val="00BD0000"/>
    <w:rsid w:val="00BD0299"/>
    <w:rsid w:val="00BD1048"/>
    <w:rsid w:val="00BD1485"/>
    <w:rsid w:val="00BD172F"/>
    <w:rsid w:val="00BD1E3D"/>
    <w:rsid w:val="00BD1F3B"/>
    <w:rsid w:val="00BD25A9"/>
    <w:rsid w:val="00BD2AFC"/>
    <w:rsid w:val="00BD346E"/>
    <w:rsid w:val="00BD39FF"/>
    <w:rsid w:val="00BD3C3C"/>
    <w:rsid w:val="00BD4158"/>
    <w:rsid w:val="00BD4BC9"/>
    <w:rsid w:val="00BD633F"/>
    <w:rsid w:val="00BD658F"/>
    <w:rsid w:val="00BD675B"/>
    <w:rsid w:val="00BD75DA"/>
    <w:rsid w:val="00BD76D4"/>
    <w:rsid w:val="00BD7BD7"/>
    <w:rsid w:val="00BD7F97"/>
    <w:rsid w:val="00BE02FE"/>
    <w:rsid w:val="00BE0585"/>
    <w:rsid w:val="00BE0773"/>
    <w:rsid w:val="00BE19F8"/>
    <w:rsid w:val="00BE1A18"/>
    <w:rsid w:val="00BE1C4C"/>
    <w:rsid w:val="00BE1F35"/>
    <w:rsid w:val="00BE208E"/>
    <w:rsid w:val="00BE2731"/>
    <w:rsid w:val="00BE3688"/>
    <w:rsid w:val="00BE3B72"/>
    <w:rsid w:val="00BE4C1F"/>
    <w:rsid w:val="00BE4DCD"/>
    <w:rsid w:val="00BE5162"/>
    <w:rsid w:val="00BE51C5"/>
    <w:rsid w:val="00BE5619"/>
    <w:rsid w:val="00BE5742"/>
    <w:rsid w:val="00BE5882"/>
    <w:rsid w:val="00BE6075"/>
    <w:rsid w:val="00BE6272"/>
    <w:rsid w:val="00BE6299"/>
    <w:rsid w:val="00BE62BE"/>
    <w:rsid w:val="00BE704F"/>
    <w:rsid w:val="00BE7468"/>
    <w:rsid w:val="00BE75B7"/>
    <w:rsid w:val="00BE75DE"/>
    <w:rsid w:val="00BE77C7"/>
    <w:rsid w:val="00BF001B"/>
    <w:rsid w:val="00BF05F9"/>
    <w:rsid w:val="00BF25A6"/>
    <w:rsid w:val="00BF26FE"/>
    <w:rsid w:val="00BF27BF"/>
    <w:rsid w:val="00BF31E7"/>
    <w:rsid w:val="00BF42C9"/>
    <w:rsid w:val="00BF4448"/>
    <w:rsid w:val="00BF4822"/>
    <w:rsid w:val="00BF48C2"/>
    <w:rsid w:val="00BF4D88"/>
    <w:rsid w:val="00BF4F51"/>
    <w:rsid w:val="00BF501D"/>
    <w:rsid w:val="00BF520E"/>
    <w:rsid w:val="00BF524A"/>
    <w:rsid w:val="00BF544C"/>
    <w:rsid w:val="00BF5671"/>
    <w:rsid w:val="00BF59B3"/>
    <w:rsid w:val="00BF59C7"/>
    <w:rsid w:val="00BF6132"/>
    <w:rsid w:val="00BF62ED"/>
    <w:rsid w:val="00BF63ED"/>
    <w:rsid w:val="00BF6A97"/>
    <w:rsid w:val="00BF7269"/>
    <w:rsid w:val="00BF7A34"/>
    <w:rsid w:val="00C0009B"/>
    <w:rsid w:val="00C001DB"/>
    <w:rsid w:val="00C00807"/>
    <w:rsid w:val="00C00D54"/>
    <w:rsid w:val="00C00FA2"/>
    <w:rsid w:val="00C01372"/>
    <w:rsid w:val="00C02194"/>
    <w:rsid w:val="00C0256B"/>
    <w:rsid w:val="00C027EB"/>
    <w:rsid w:val="00C02B9D"/>
    <w:rsid w:val="00C02C33"/>
    <w:rsid w:val="00C02C4C"/>
    <w:rsid w:val="00C02CF7"/>
    <w:rsid w:val="00C0302A"/>
    <w:rsid w:val="00C03392"/>
    <w:rsid w:val="00C035DA"/>
    <w:rsid w:val="00C03DEA"/>
    <w:rsid w:val="00C03ECE"/>
    <w:rsid w:val="00C04436"/>
    <w:rsid w:val="00C04B6B"/>
    <w:rsid w:val="00C065EC"/>
    <w:rsid w:val="00C06C82"/>
    <w:rsid w:val="00C06DA4"/>
    <w:rsid w:val="00C072D5"/>
    <w:rsid w:val="00C100E3"/>
    <w:rsid w:val="00C10485"/>
    <w:rsid w:val="00C10878"/>
    <w:rsid w:val="00C10B4E"/>
    <w:rsid w:val="00C12234"/>
    <w:rsid w:val="00C12933"/>
    <w:rsid w:val="00C12B58"/>
    <w:rsid w:val="00C12CA4"/>
    <w:rsid w:val="00C1323C"/>
    <w:rsid w:val="00C1330C"/>
    <w:rsid w:val="00C135AB"/>
    <w:rsid w:val="00C136AB"/>
    <w:rsid w:val="00C138BA"/>
    <w:rsid w:val="00C13B5A"/>
    <w:rsid w:val="00C14DAB"/>
    <w:rsid w:val="00C153E9"/>
    <w:rsid w:val="00C1584F"/>
    <w:rsid w:val="00C16831"/>
    <w:rsid w:val="00C16DF9"/>
    <w:rsid w:val="00C16F2E"/>
    <w:rsid w:val="00C17379"/>
    <w:rsid w:val="00C2020C"/>
    <w:rsid w:val="00C20330"/>
    <w:rsid w:val="00C20753"/>
    <w:rsid w:val="00C2088D"/>
    <w:rsid w:val="00C20CD0"/>
    <w:rsid w:val="00C2125F"/>
    <w:rsid w:val="00C21302"/>
    <w:rsid w:val="00C217BF"/>
    <w:rsid w:val="00C21B4F"/>
    <w:rsid w:val="00C22182"/>
    <w:rsid w:val="00C2220A"/>
    <w:rsid w:val="00C22AB4"/>
    <w:rsid w:val="00C22CB0"/>
    <w:rsid w:val="00C23507"/>
    <w:rsid w:val="00C23877"/>
    <w:rsid w:val="00C23E8D"/>
    <w:rsid w:val="00C23F1C"/>
    <w:rsid w:val="00C24F7D"/>
    <w:rsid w:val="00C2506C"/>
    <w:rsid w:val="00C2515E"/>
    <w:rsid w:val="00C255E5"/>
    <w:rsid w:val="00C25C2A"/>
    <w:rsid w:val="00C25C59"/>
    <w:rsid w:val="00C25F64"/>
    <w:rsid w:val="00C26CD1"/>
    <w:rsid w:val="00C26E25"/>
    <w:rsid w:val="00C27665"/>
    <w:rsid w:val="00C2769B"/>
    <w:rsid w:val="00C2770E"/>
    <w:rsid w:val="00C300A9"/>
    <w:rsid w:val="00C30539"/>
    <w:rsid w:val="00C305EE"/>
    <w:rsid w:val="00C30884"/>
    <w:rsid w:val="00C30AFA"/>
    <w:rsid w:val="00C30D0D"/>
    <w:rsid w:val="00C30F98"/>
    <w:rsid w:val="00C30FE2"/>
    <w:rsid w:val="00C31457"/>
    <w:rsid w:val="00C315E6"/>
    <w:rsid w:val="00C31A90"/>
    <w:rsid w:val="00C333A5"/>
    <w:rsid w:val="00C336E7"/>
    <w:rsid w:val="00C33ECE"/>
    <w:rsid w:val="00C33F0E"/>
    <w:rsid w:val="00C33F21"/>
    <w:rsid w:val="00C34F33"/>
    <w:rsid w:val="00C34FE4"/>
    <w:rsid w:val="00C3513E"/>
    <w:rsid w:val="00C36525"/>
    <w:rsid w:val="00C3675F"/>
    <w:rsid w:val="00C3691D"/>
    <w:rsid w:val="00C369FB"/>
    <w:rsid w:val="00C36CA3"/>
    <w:rsid w:val="00C36F8C"/>
    <w:rsid w:val="00C3788A"/>
    <w:rsid w:val="00C40117"/>
    <w:rsid w:val="00C408CA"/>
    <w:rsid w:val="00C40909"/>
    <w:rsid w:val="00C40ABC"/>
    <w:rsid w:val="00C40AE8"/>
    <w:rsid w:val="00C40B0F"/>
    <w:rsid w:val="00C415BB"/>
    <w:rsid w:val="00C41693"/>
    <w:rsid w:val="00C419D1"/>
    <w:rsid w:val="00C4241B"/>
    <w:rsid w:val="00C427AC"/>
    <w:rsid w:val="00C42983"/>
    <w:rsid w:val="00C42F9B"/>
    <w:rsid w:val="00C431EA"/>
    <w:rsid w:val="00C43E7D"/>
    <w:rsid w:val="00C43EB4"/>
    <w:rsid w:val="00C444DB"/>
    <w:rsid w:val="00C447A1"/>
    <w:rsid w:val="00C45418"/>
    <w:rsid w:val="00C455C8"/>
    <w:rsid w:val="00C45CC5"/>
    <w:rsid w:val="00C4620C"/>
    <w:rsid w:val="00C46E0B"/>
    <w:rsid w:val="00C4713C"/>
    <w:rsid w:val="00C476F2"/>
    <w:rsid w:val="00C47783"/>
    <w:rsid w:val="00C47A33"/>
    <w:rsid w:val="00C502C8"/>
    <w:rsid w:val="00C50CBC"/>
    <w:rsid w:val="00C5125A"/>
    <w:rsid w:val="00C515E2"/>
    <w:rsid w:val="00C51EA9"/>
    <w:rsid w:val="00C5264E"/>
    <w:rsid w:val="00C52723"/>
    <w:rsid w:val="00C5293C"/>
    <w:rsid w:val="00C52BDB"/>
    <w:rsid w:val="00C532D5"/>
    <w:rsid w:val="00C53311"/>
    <w:rsid w:val="00C535A6"/>
    <w:rsid w:val="00C53BE0"/>
    <w:rsid w:val="00C54075"/>
    <w:rsid w:val="00C540E7"/>
    <w:rsid w:val="00C54A8F"/>
    <w:rsid w:val="00C55468"/>
    <w:rsid w:val="00C55807"/>
    <w:rsid w:val="00C560B4"/>
    <w:rsid w:val="00C56C27"/>
    <w:rsid w:val="00C56CB1"/>
    <w:rsid w:val="00C56D6A"/>
    <w:rsid w:val="00C56F2F"/>
    <w:rsid w:val="00C56FAA"/>
    <w:rsid w:val="00C57277"/>
    <w:rsid w:val="00C57ACD"/>
    <w:rsid w:val="00C57CF1"/>
    <w:rsid w:val="00C60512"/>
    <w:rsid w:val="00C6085E"/>
    <w:rsid w:val="00C60907"/>
    <w:rsid w:val="00C60B2A"/>
    <w:rsid w:val="00C60DB3"/>
    <w:rsid w:val="00C615E9"/>
    <w:rsid w:val="00C6166E"/>
    <w:rsid w:val="00C61736"/>
    <w:rsid w:val="00C6262F"/>
    <w:rsid w:val="00C62DDB"/>
    <w:rsid w:val="00C6304D"/>
    <w:rsid w:val="00C631C5"/>
    <w:rsid w:val="00C63573"/>
    <w:rsid w:val="00C63E9A"/>
    <w:rsid w:val="00C63F06"/>
    <w:rsid w:val="00C64075"/>
    <w:rsid w:val="00C640CF"/>
    <w:rsid w:val="00C6439F"/>
    <w:rsid w:val="00C647DA"/>
    <w:rsid w:val="00C64FE0"/>
    <w:rsid w:val="00C65939"/>
    <w:rsid w:val="00C665BB"/>
    <w:rsid w:val="00C6678E"/>
    <w:rsid w:val="00C66BAE"/>
    <w:rsid w:val="00C66F7E"/>
    <w:rsid w:val="00C67227"/>
    <w:rsid w:val="00C672EF"/>
    <w:rsid w:val="00C6786F"/>
    <w:rsid w:val="00C67DAE"/>
    <w:rsid w:val="00C67E7D"/>
    <w:rsid w:val="00C70175"/>
    <w:rsid w:val="00C70A32"/>
    <w:rsid w:val="00C70B80"/>
    <w:rsid w:val="00C70BF0"/>
    <w:rsid w:val="00C714B1"/>
    <w:rsid w:val="00C7183E"/>
    <w:rsid w:val="00C71AFD"/>
    <w:rsid w:val="00C72126"/>
    <w:rsid w:val="00C72176"/>
    <w:rsid w:val="00C72714"/>
    <w:rsid w:val="00C72792"/>
    <w:rsid w:val="00C72B3B"/>
    <w:rsid w:val="00C72B7C"/>
    <w:rsid w:val="00C7327F"/>
    <w:rsid w:val="00C73746"/>
    <w:rsid w:val="00C742A9"/>
    <w:rsid w:val="00C746D5"/>
    <w:rsid w:val="00C7470E"/>
    <w:rsid w:val="00C74F09"/>
    <w:rsid w:val="00C7507C"/>
    <w:rsid w:val="00C7535D"/>
    <w:rsid w:val="00C754FB"/>
    <w:rsid w:val="00C7581D"/>
    <w:rsid w:val="00C75916"/>
    <w:rsid w:val="00C76748"/>
    <w:rsid w:val="00C77156"/>
    <w:rsid w:val="00C77332"/>
    <w:rsid w:val="00C775D5"/>
    <w:rsid w:val="00C779C8"/>
    <w:rsid w:val="00C77E03"/>
    <w:rsid w:val="00C80147"/>
    <w:rsid w:val="00C8039F"/>
    <w:rsid w:val="00C80CC5"/>
    <w:rsid w:val="00C80E02"/>
    <w:rsid w:val="00C81295"/>
    <w:rsid w:val="00C8199B"/>
    <w:rsid w:val="00C81B61"/>
    <w:rsid w:val="00C81F0E"/>
    <w:rsid w:val="00C83099"/>
    <w:rsid w:val="00C831C8"/>
    <w:rsid w:val="00C83399"/>
    <w:rsid w:val="00C8361D"/>
    <w:rsid w:val="00C836BD"/>
    <w:rsid w:val="00C83A99"/>
    <w:rsid w:val="00C83C00"/>
    <w:rsid w:val="00C83F50"/>
    <w:rsid w:val="00C83F69"/>
    <w:rsid w:val="00C84B66"/>
    <w:rsid w:val="00C8559A"/>
    <w:rsid w:val="00C85AD8"/>
    <w:rsid w:val="00C867A8"/>
    <w:rsid w:val="00C872CC"/>
    <w:rsid w:val="00C879A7"/>
    <w:rsid w:val="00C87AFB"/>
    <w:rsid w:val="00C90090"/>
    <w:rsid w:val="00C90484"/>
    <w:rsid w:val="00C9086C"/>
    <w:rsid w:val="00C90BEE"/>
    <w:rsid w:val="00C90D78"/>
    <w:rsid w:val="00C90EBD"/>
    <w:rsid w:val="00C90F3E"/>
    <w:rsid w:val="00C9122C"/>
    <w:rsid w:val="00C915E4"/>
    <w:rsid w:val="00C91963"/>
    <w:rsid w:val="00C91F86"/>
    <w:rsid w:val="00C92512"/>
    <w:rsid w:val="00C9265C"/>
    <w:rsid w:val="00C92851"/>
    <w:rsid w:val="00C92957"/>
    <w:rsid w:val="00C93855"/>
    <w:rsid w:val="00C93E80"/>
    <w:rsid w:val="00C94094"/>
    <w:rsid w:val="00C947C6"/>
    <w:rsid w:val="00C94ABA"/>
    <w:rsid w:val="00C95EA8"/>
    <w:rsid w:val="00C96A40"/>
    <w:rsid w:val="00C96D6C"/>
    <w:rsid w:val="00C974BE"/>
    <w:rsid w:val="00C974D5"/>
    <w:rsid w:val="00CA05C4"/>
    <w:rsid w:val="00CA0CE5"/>
    <w:rsid w:val="00CA0F81"/>
    <w:rsid w:val="00CA15A4"/>
    <w:rsid w:val="00CA1841"/>
    <w:rsid w:val="00CA1BEE"/>
    <w:rsid w:val="00CA1D23"/>
    <w:rsid w:val="00CA23D1"/>
    <w:rsid w:val="00CA2BC6"/>
    <w:rsid w:val="00CA2C6E"/>
    <w:rsid w:val="00CA3338"/>
    <w:rsid w:val="00CA3950"/>
    <w:rsid w:val="00CA3E04"/>
    <w:rsid w:val="00CA4412"/>
    <w:rsid w:val="00CA4834"/>
    <w:rsid w:val="00CA4969"/>
    <w:rsid w:val="00CA4C9F"/>
    <w:rsid w:val="00CA503D"/>
    <w:rsid w:val="00CA55EB"/>
    <w:rsid w:val="00CA560D"/>
    <w:rsid w:val="00CA57A4"/>
    <w:rsid w:val="00CA6573"/>
    <w:rsid w:val="00CA69C3"/>
    <w:rsid w:val="00CA6BD8"/>
    <w:rsid w:val="00CA6EDB"/>
    <w:rsid w:val="00CA72C6"/>
    <w:rsid w:val="00CA742F"/>
    <w:rsid w:val="00CA75D5"/>
    <w:rsid w:val="00CA78D6"/>
    <w:rsid w:val="00CA7B9F"/>
    <w:rsid w:val="00CA7FC6"/>
    <w:rsid w:val="00CB062D"/>
    <w:rsid w:val="00CB17E8"/>
    <w:rsid w:val="00CB2263"/>
    <w:rsid w:val="00CB2346"/>
    <w:rsid w:val="00CB23FA"/>
    <w:rsid w:val="00CB28F7"/>
    <w:rsid w:val="00CB300C"/>
    <w:rsid w:val="00CB35F3"/>
    <w:rsid w:val="00CB450D"/>
    <w:rsid w:val="00CB48AB"/>
    <w:rsid w:val="00CB48E5"/>
    <w:rsid w:val="00CB54C1"/>
    <w:rsid w:val="00CB63E2"/>
    <w:rsid w:val="00CB7499"/>
    <w:rsid w:val="00CB7620"/>
    <w:rsid w:val="00CB779C"/>
    <w:rsid w:val="00CB77CB"/>
    <w:rsid w:val="00CB785D"/>
    <w:rsid w:val="00CB7B06"/>
    <w:rsid w:val="00CB7E12"/>
    <w:rsid w:val="00CC04BC"/>
    <w:rsid w:val="00CC0943"/>
    <w:rsid w:val="00CC0D5A"/>
    <w:rsid w:val="00CC19A0"/>
    <w:rsid w:val="00CC2078"/>
    <w:rsid w:val="00CC22DE"/>
    <w:rsid w:val="00CC2814"/>
    <w:rsid w:val="00CC2896"/>
    <w:rsid w:val="00CC2C85"/>
    <w:rsid w:val="00CC33B7"/>
    <w:rsid w:val="00CC344E"/>
    <w:rsid w:val="00CC34EF"/>
    <w:rsid w:val="00CC362E"/>
    <w:rsid w:val="00CC4006"/>
    <w:rsid w:val="00CC4116"/>
    <w:rsid w:val="00CC4258"/>
    <w:rsid w:val="00CC4E08"/>
    <w:rsid w:val="00CC4E74"/>
    <w:rsid w:val="00CC50D5"/>
    <w:rsid w:val="00CC53A6"/>
    <w:rsid w:val="00CC5428"/>
    <w:rsid w:val="00CC572B"/>
    <w:rsid w:val="00CC5A6B"/>
    <w:rsid w:val="00CC623F"/>
    <w:rsid w:val="00CC6418"/>
    <w:rsid w:val="00CC689E"/>
    <w:rsid w:val="00CC6A31"/>
    <w:rsid w:val="00CC6B3A"/>
    <w:rsid w:val="00CC70EB"/>
    <w:rsid w:val="00CC7770"/>
    <w:rsid w:val="00CD0309"/>
    <w:rsid w:val="00CD0B22"/>
    <w:rsid w:val="00CD0B83"/>
    <w:rsid w:val="00CD0C44"/>
    <w:rsid w:val="00CD0D0E"/>
    <w:rsid w:val="00CD1946"/>
    <w:rsid w:val="00CD1B9B"/>
    <w:rsid w:val="00CD1D5B"/>
    <w:rsid w:val="00CD20A0"/>
    <w:rsid w:val="00CD2516"/>
    <w:rsid w:val="00CD29C9"/>
    <w:rsid w:val="00CD32DC"/>
    <w:rsid w:val="00CD3BD5"/>
    <w:rsid w:val="00CD3E17"/>
    <w:rsid w:val="00CD4510"/>
    <w:rsid w:val="00CD4532"/>
    <w:rsid w:val="00CD5478"/>
    <w:rsid w:val="00CD59F4"/>
    <w:rsid w:val="00CD5A3A"/>
    <w:rsid w:val="00CD5DF8"/>
    <w:rsid w:val="00CD5F61"/>
    <w:rsid w:val="00CD649F"/>
    <w:rsid w:val="00CD70C9"/>
    <w:rsid w:val="00CD730E"/>
    <w:rsid w:val="00CD766C"/>
    <w:rsid w:val="00CD7775"/>
    <w:rsid w:val="00CE025A"/>
    <w:rsid w:val="00CE0552"/>
    <w:rsid w:val="00CE08E8"/>
    <w:rsid w:val="00CE0C9E"/>
    <w:rsid w:val="00CE103D"/>
    <w:rsid w:val="00CE1719"/>
    <w:rsid w:val="00CE1B2B"/>
    <w:rsid w:val="00CE1C91"/>
    <w:rsid w:val="00CE1EA2"/>
    <w:rsid w:val="00CE2307"/>
    <w:rsid w:val="00CE280B"/>
    <w:rsid w:val="00CE2C97"/>
    <w:rsid w:val="00CE3917"/>
    <w:rsid w:val="00CE3982"/>
    <w:rsid w:val="00CE3AC8"/>
    <w:rsid w:val="00CE3CA6"/>
    <w:rsid w:val="00CE428C"/>
    <w:rsid w:val="00CE487D"/>
    <w:rsid w:val="00CE4CE0"/>
    <w:rsid w:val="00CE4D35"/>
    <w:rsid w:val="00CE4F67"/>
    <w:rsid w:val="00CE6702"/>
    <w:rsid w:val="00CE6B13"/>
    <w:rsid w:val="00CE70E1"/>
    <w:rsid w:val="00CE75CF"/>
    <w:rsid w:val="00CE7749"/>
    <w:rsid w:val="00CF003D"/>
    <w:rsid w:val="00CF0134"/>
    <w:rsid w:val="00CF02B0"/>
    <w:rsid w:val="00CF0A13"/>
    <w:rsid w:val="00CF0A4F"/>
    <w:rsid w:val="00CF0D4C"/>
    <w:rsid w:val="00CF0D98"/>
    <w:rsid w:val="00CF1414"/>
    <w:rsid w:val="00CF2BBF"/>
    <w:rsid w:val="00CF3242"/>
    <w:rsid w:val="00CF333A"/>
    <w:rsid w:val="00CF3AA0"/>
    <w:rsid w:val="00CF3DFF"/>
    <w:rsid w:val="00CF3E0C"/>
    <w:rsid w:val="00CF47DE"/>
    <w:rsid w:val="00CF5091"/>
    <w:rsid w:val="00CF54FA"/>
    <w:rsid w:val="00CF55E8"/>
    <w:rsid w:val="00CF5AE9"/>
    <w:rsid w:val="00CF60A1"/>
    <w:rsid w:val="00CF6231"/>
    <w:rsid w:val="00CF69F7"/>
    <w:rsid w:val="00CF6AD2"/>
    <w:rsid w:val="00CF6E4C"/>
    <w:rsid w:val="00CF6EFB"/>
    <w:rsid w:val="00CF7286"/>
    <w:rsid w:val="00CF77E6"/>
    <w:rsid w:val="00CF7DF1"/>
    <w:rsid w:val="00D00436"/>
    <w:rsid w:val="00D00956"/>
    <w:rsid w:val="00D01169"/>
    <w:rsid w:val="00D015DF"/>
    <w:rsid w:val="00D01927"/>
    <w:rsid w:val="00D01CBD"/>
    <w:rsid w:val="00D01F51"/>
    <w:rsid w:val="00D0269C"/>
    <w:rsid w:val="00D0284B"/>
    <w:rsid w:val="00D0287B"/>
    <w:rsid w:val="00D029B6"/>
    <w:rsid w:val="00D02CEB"/>
    <w:rsid w:val="00D03572"/>
    <w:rsid w:val="00D03610"/>
    <w:rsid w:val="00D03D8E"/>
    <w:rsid w:val="00D03DB7"/>
    <w:rsid w:val="00D04020"/>
    <w:rsid w:val="00D041F7"/>
    <w:rsid w:val="00D045DB"/>
    <w:rsid w:val="00D04943"/>
    <w:rsid w:val="00D0495F"/>
    <w:rsid w:val="00D04D6D"/>
    <w:rsid w:val="00D05438"/>
    <w:rsid w:val="00D05495"/>
    <w:rsid w:val="00D063F0"/>
    <w:rsid w:val="00D0690D"/>
    <w:rsid w:val="00D06B74"/>
    <w:rsid w:val="00D07220"/>
    <w:rsid w:val="00D07A14"/>
    <w:rsid w:val="00D07B3C"/>
    <w:rsid w:val="00D07DD2"/>
    <w:rsid w:val="00D1004F"/>
    <w:rsid w:val="00D101C2"/>
    <w:rsid w:val="00D103AC"/>
    <w:rsid w:val="00D10F06"/>
    <w:rsid w:val="00D11249"/>
    <w:rsid w:val="00D11441"/>
    <w:rsid w:val="00D11462"/>
    <w:rsid w:val="00D116B0"/>
    <w:rsid w:val="00D1208F"/>
    <w:rsid w:val="00D12BF8"/>
    <w:rsid w:val="00D1319B"/>
    <w:rsid w:val="00D132EF"/>
    <w:rsid w:val="00D13C94"/>
    <w:rsid w:val="00D13E5D"/>
    <w:rsid w:val="00D14460"/>
    <w:rsid w:val="00D144B8"/>
    <w:rsid w:val="00D145BF"/>
    <w:rsid w:val="00D1484A"/>
    <w:rsid w:val="00D14B87"/>
    <w:rsid w:val="00D152DF"/>
    <w:rsid w:val="00D153A2"/>
    <w:rsid w:val="00D15591"/>
    <w:rsid w:val="00D155EA"/>
    <w:rsid w:val="00D15683"/>
    <w:rsid w:val="00D160CC"/>
    <w:rsid w:val="00D167A8"/>
    <w:rsid w:val="00D16C57"/>
    <w:rsid w:val="00D17407"/>
    <w:rsid w:val="00D20451"/>
    <w:rsid w:val="00D20748"/>
    <w:rsid w:val="00D20863"/>
    <w:rsid w:val="00D20B59"/>
    <w:rsid w:val="00D20D1F"/>
    <w:rsid w:val="00D20F26"/>
    <w:rsid w:val="00D215C8"/>
    <w:rsid w:val="00D2181E"/>
    <w:rsid w:val="00D2191B"/>
    <w:rsid w:val="00D21A37"/>
    <w:rsid w:val="00D22444"/>
    <w:rsid w:val="00D2254C"/>
    <w:rsid w:val="00D225C3"/>
    <w:rsid w:val="00D2282A"/>
    <w:rsid w:val="00D22A93"/>
    <w:rsid w:val="00D22B60"/>
    <w:rsid w:val="00D23F3F"/>
    <w:rsid w:val="00D243C1"/>
    <w:rsid w:val="00D247D9"/>
    <w:rsid w:val="00D24B09"/>
    <w:rsid w:val="00D24B29"/>
    <w:rsid w:val="00D25CE8"/>
    <w:rsid w:val="00D25F7E"/>
    <w:rsid w:val="00D260B3"/>
    <w:rsid w:val="00D26269"/>
    <w:rsid w:val="00D266C3"/>
    <w:rsid w:val="00D26903"/>
    <w:rsid w:val="00D26C03"/>
    <w:rsid w:val="00D274F6"/>
    <w:rsid w:val="00D27936"/>
    <w:rsid w:val="00D27CA5"/>
    <w:rsid w:val="00D305F6"/>
    <w:rsid w:val="00D30628"/>
    <w:rsid w:val="00D306BC"/>
    <w:rsid w:val="00D313EB"/>
    <w:rsid w:val="00D31A0A"/>
    <w:rsid w:val="00D31A63"/>
    <w:rsid w:val="00D3229A"/>
    <w:rsid w:val="00D324AC"/>
    <w:rsid w:val="00D328A6"/>
    <w:rsid w:val="00D32EC6"/>
    <w:rsid w:val="00D33415"/>
    <w:rsid w:val="00D342E4"/>
    <w:rsid w:val="00D34500"/>
    <w:rsid w:val="00D3489D"/>
    <w:rsid w:val="00D349DE"/>
    <w:rsid w:val="00D34ED9"/>
    <w:rsid w:val="00D35102"/>
    <w:rsid w:val="00D352E3"/>
    <w:rsid w:val="00D355FE"/>
    <w:rsid w:val="00D35610"/>
    <w:rsid w:val="00D35B54"/>
    <w:rsid w:val="00D36103"/>
    <w:rsid w:val="00D365F8"/>
    <w:rsid w:val="00D3666D"/>
    <w:rsid w:val="00D367E6"/>
    <w:rsid w:val="00D36D96"/>
    <w:rsid w:val="00D377CA"/>
    <w:rsid w:val="00D37AC9"/>
    <w:rsid w:val="00D40AC8"/>
    <w:rsid w:val="00D40BFD"/>
    <w:rsid w:val="00D40C71"/>
    <w:rsid w:val="00D40D35"/>
    <w:rsid w:val="00D412A8"/>
    <w:rsid w:val="00D41346"/>
    <w:rsid w:val="00D413E5"/>
    <w:rsid w:val="00D414AD"/>
    <w:rsid w:val="00D415D1"/>
    <w:rsid w:val="00D41EEF"/>
    <w:rsid w:val="00D423C3"/>
    <w:rsid w:val="00D42A33"/>
    <w:rsid w:val="00D42C60"/>
    <w:rsid w:val="00D42EBB"/>
    <w:rsid w:val="00D42F6D"/>
    <w:rsid w:val="00D430EA"/>
    <w:rsid w:val="00D432A9"/>
    <w:rsid w:val="00D435C8"/>
    <w:rsid w:val="00D438EC"/>
    <w:rsid w:val="00D44118"/>
    <w:rsid w:val="00D442EE"/>
    <w:rsid w:val="00D4483F"/>
    <w:rsid w:val="00D44CDF"/>
    <w:rsid w:val="00D44D33"/>
    <w:rsid w:val="00D45145"/>
    <w:rsid w:val="00D45E6A"/>
    <w:rsid w:val="00D45E92"/>
    <w:rsid w:val="00D473B9"/>
    <w:rsid w:val="00D473C0"/>
    <w:rsid w:val="00D478E7"/>
    <w:rsid w:val="00D47D4F"/>
    <w:rsid w:val="00D50172"/>
    <w:rsid w:val="00D50E68"/>
    <w:rsid w:val="00D50FD6"/>
    <w:rsid w:val="00D51620"/>
    <w:rsid w:val="00D51870"/>
    <w:rsid w:val="00D52D7C"/>
    <w:rsid w:val="00D53365"/>
    <w:rsid w:val="00D53579"/>
    <w:rsid w:val="00D53B5F"/>
    <w:rsid w:val="00D53D03"/>
    <w:rsid w:val="00D54550"/>
    <w:rsid w:val="00D54F0B"/>
    <w:rsid w:val="00D55102"/>
    <w:rsid w:val="00D555DE"/>
    <w:rsid w:val="00D55865"/>
    <w:rsid w:val="00D559D9"/>
    <w:rsid w:val="00D55A32"/>
    <w:rsid w:val="00D55B1D"/>
    <w:rsid w:val="00D5644A"/>
    <w:rsid w:val="00D564EA"/>
    <w:rsid w:val="00D5655A"/>
    <w:rsid w:val="00D5667C"/>
    <w:rsid w:val="00D56CA3"/>
    <w:rsid w:val="00D575E5"/>
    <w:rsid w:val="00D6022D"/>
    <w:rsid w:val="00D605A4"/>
    <w:rsid w:val="00D6158C"/>
    <w:rsid w:val="00D61A57"/>
    <w:rsid w:val="00D61D82"/>
    <w:rsid w:val="00D62531"/>
    <w:rsid w:val="00D62C4C"/>
    <w:rsid w:val="00D63190"/>
    <w:rsid w:val="00D632BE"/>
    <w:rsid w:val="00D63727"/>
    <w:rsid w:val="00D6395B"/>
    <w:rsid w:val="00D63BF1"/>
    <w:rsid w:val="00D647D8"/>
    <w:rsid w:val="00D64936"/>
    <w:rsid w:val="00D64C6C"/>
    <w:rsid w:val="00D64E6F"/>
    <w:rsid w:val="00D65255"/>
    <w:rsid w:val="00D65290"/>
    <w:rsid w:val="00D65461"/>
    <w:rsid w:val="00D65EDE"/>
    <w:rsid w:val="00D66445"/>
    <w:rsid w:val="00D6653F"/>
    <w:rsid w:val="00D668E2"/>
    <w:rsid w:val="00D66E0B"/>
    <w:rsid w:val="00D67022"/>
    <w:rsid w:val="00D70131"/>
    <w:rsid w:val="00D702B6"/>
    <w:rsid w:val="00D7073B"/>
    <w:rsid w:val="00D70951"/>
    <w:rsid w:val="00D70BA1"/>
    <w:rsid w:val="00D71C1F"/>
    <w:rsid w:val="00D71CE2"/>
    <w:rsid w:val="00D72230"/>
    <w:rsid w:val="00D725A9"/>
    <w:rsid w:val="00D728FC"/>
    <w:rsid w:val="00D73029"/>
    <w:rsid w:val="00D73669"/>
    <w:rsid w:val="00D73756"/>
    <w:rsid w:val="00D737F8"/>
    <w:rsid w:val="00D73BEB"/>
    <w:rsid w:val="00D73E08"/>
    <w:rsid w:val="00D73F05"/>
    <w:rsid w:val="00D7409F"/>
    <w:rsid w:val="00D741B0"/>
    <w:rsid w:val="00D741B9"/>
    <w:rsid w:val="00D74A47"/>
    <w:rsid w:val="00D74A4D"/>
    <w:rsid w:val="00D74D51"/>
    <w:rsid w:val="00D756DE"/>
    <w:rsid w:val="00D756F1"/>
    <w:rsid w:val="00D7576F"/>
    <w:rsid w:val="00D7612D"/>
    <w:rsid w:val="00D76787"/>
    <w:rsid w:val="00D7706E"/>
    <w:rsid w:val="00D777A6"/>
    <w:rsid w:val="00D777E3"/>
    <w:rsid w:val="00D778BA"/>
    <w:rsid w:val="00D77B40"/>
    <w:rsid w:val="00D77B8A"/>
    <w:rsid w:val="00D77DEA"/>
    <w:rsid w:val="00D803CC"/>
    <w:rsid w:val="00D8043E"/>
    <w:rsid w:val="00D80998"/>
    <w:rsid w:val="00D80A25"/>
    <w:rsid w:val="00D80A8C"/>
    <w:rsid w:val="00D80B99"/>
    <w:rsid w:val="00D8165A"/>
    <w:rsid w:val="00D81B40"/>
    <w:rsid w:val="00D81BAE"/>
    <w:rsid w:val="00D81BFE"/>
    <w:rsid w:val="00D81C47"/>
    <w:rsid w:val="00D829A2"/>
    <w:rsid w:val="00D82B64"/>
    <w:rsid w:val="00D83023"/>
    <w:rsid w:val="00D83093"/>
    <w:rsid w:val="00D83823"/>
    <w:rsid w:val="00D8383C"/>
    <w:rsid w:val="00D83AC0"/>
    <w:rsid w:val="00D83EA5"/>
    <w:rsid w:val="00D84799"/>
    <w:rsid w:val="00D84993"/>
    <w:rsid w:val="00D84D7C"/>
    <w:rsid w:val="00D85549"/>
    <w:rsid w:val="00D85719"/>
    <w:rsid w:val="00D85A41"/>
    <w:rsid w:val="00D863B4"/>
    <w:rsid w:val="00D8669A"/>
    <w:rsid w:val="00D8676C"/>
    <w:rsid w:val="00D86801"/>
    <w:rsid w:val="00D868E8"/>
    <w:rsid w:val="00D86C3A"/>
    <w:rsid w:val="00D86FB8"/>
    <w:rsid w:val="00D86FC7"/>
    <w:rsid w:val="00D86FD5"/>
    <w:rsid w:val="00D87053"/>
    <w:rsid w:val="00D874CB"/>
    <w:rsid w:val="00D8775F"/>
    <w:rsid w:val="00D87798"/>
    <w:rsid w:val="00D87D31"/>
    <w:rsid w:val="00D90101"/>
    <w:rsid w:val="00D90AF9"/>
    <w:rsid w:val="00D9185F"/>
    <w:rsid w:val="00D9189C"/>
    <w:rsid w:val="00D928B6"/>
    <w:rsid w:val="00D92B1E"/>
    <w:rsid w:val="00D93B7F"/>
    <w:rsid w:val="00D93DA1"/>
    <w:rsid w:val="00D943D2"/>
    <w:rsid w:val="00D95B04"/>
    <w:rsid w:val="00D95F14"/>
    <w:rsid w:val="00D961DD"/>
    <w:rsid w:val="00D966FC"/>
    <w:rsid w:val="00D96AA6"/>
    <w:rsid w:val="00DA02E1"/>
    <w:rsid w:val="00DA088A"/>
    <w:rsid w:val="00DA0D1D"/>
    <w:rsid w:val="00DA1600"/>
    <w:rsid w:val="00DA1D72"/>
    <w:rsid w:val="00DA1DDE"/>
    <w:rsid w:val="00DA1F85"/>
    <w:rsid w:val="00DA2793"/>
    <w:rsid w:val="00DA2B2F"/>
    <w:rsid w:val="00DA323A"/>
    <w:rsid w:val="00DA3B81"/>
    <w:rsid w:val="00DA417A"/>
    <w:rsid w:val="00DA51C0"/>
    <w:rsid w:val="00DA57BE"/>
    <w:rsid w:val="00DA5855"/>
    <w:rsid w:val="00DA60E3"/>
    <w:rsid w:val="00DA73CF"/>
    <w:rsid w:val="00DA7E0A"/>
    <w:rsid w:val="00DB01A8"/>
    <w:rsid w:val="00DB02BA"/>
    <w:rsid w:val="00DB03BF"/>
    <w:rsid w:val="00DB0706"/>
    <w:rsid w:val="00DB1A84"/>
    <w:rsid w:val="00DB1A9B"/>
    <w:rsid w:val="00DB1CCA"/>
    <w:rsid w:val="00DB20F2"/>
    <w:rsid w:val="00DB20F4"/>
    <w:rsid w:val="00DB2937"/>
    <w:rsid w:val="00DB294A"/>
    <w:rsid w:val="00DB2BC9"/>
    <w:rsid w:val="00DB38C2"/>
    <w:rsid w:val="00DB454E"/>
    <w:rsid w:val="00DB4D97"/>
    <w:rsid w:val="00DB5880"/>
    <w:rsid w:val="00DB5891"/>
    <w:rsid w:val="00DB5FE5"/>
    <w:rsid w:val="00DB626F"/>
    <w:rsid w:val="00DB6677"/>
    <w:rsid w:val="00DB68DC"/>
    <w:rsid w:val="00DB6B67"/>
    <w:rsid w:val="00DB6C87"/>
    <w:rsid w:val="00DB71DE"/>
    <w:rsid w:val="00DB74A0"/>
    <w:rsid w:val="00DB7AC2"/>
    <w:rsid w:val="00DC04B8"/>
    <w:rsid w:val="00DC0A11"/>
    <w:rsid w:val="00DC14B2"/>
    <w:rsid w:val="00DC19EF"/>
    <w:rsid w:val="00DC1E84"/>
    <w:rsid w:val="00DC251F"/>
    <w:rsid w:val="00DC268A"/>
    <w:rsid w:val="00DC271C"/>
    <w:rsid w:val="00DC283B"/>
    <w:rsid w:val="00DC296A"/>
    <w:rsid w:val="00DC2980"/>
    <w:rsid w:val="00DC2A3F"/>
    <w:rsid w:val="00DC2B40"/>
    <w:rsid w:val="00DC2DEA"/>
    <w:rsid w:val="00DC30FF"/>
    <w:rsid w:val="00DC33FC"/>
    <w:rsid w:val="00DC3D7A"/>
    <w:rsid w:val="00DC4143"/>
    <w:rsid w:val="00DC42F4"/>
    <w:rsid w:val="00DC43DC"/>
    <w:rsid w:val="00DC4C4E"/>
    <w:rsid w:val="00DC4ED0"/>
    <w:rsid w:val="00DC5080"/>
    <w:rsid w:val="00DC51DB"/>
    <w:rsid w:val="00DC5492"/>
    <w:rsid w:val="00DC5EF6"/>
    <w:rsid w:val="00DC6AC7"/>
    <w:rsid w:val="00DC6B42"/>
    <w:rsid w:val="00DD0251"/>
    <w:rsid w:val="00DD118E"/>
    <w:rsid w:val="00DD13AA"/>
    <w:rsid w:val="00DD15EF"/>
    <w:rsid w:val="00DD18BC"/>
    <w:rsid w:val="00DD1D02"/>
    <w:rsid w:val="00DD2106"/>
    <w:rsid w:val="00DD2FB4"/>
    <w:rsid w:val="00DD3752"/>
    <w:rsid w:val="00DD37ED"/>
    <w:rsid w:val="00DD398A"/>
    <w:rsid w:val="00DD3C30"/>
    <w:rsid w:val="00DD3D4D"/>
    <w:rsid w:val="00DD4252"/>
    <w:rsid w:val="00DD47C7"/>
    <w:rsid w:val="00DD4E35"/>
    <w:rsid w:val="00DD4F90"/>
    <w:rsid w:val="00DD54A4"/>
    <w:rsid w:val="00DD54C3"/>
    <w:rsid w:val="00DD55B0"/>
    <w:rsid w:val="00DD55BC"/>
    <w:rsid w:val="00DD5A85"/>
    <w:rsid w:val="00DD5B6C"/>
    <w:rsid w:val="00DD5ED9"/>
    <w:rsid w:val="00DD5F1A"/>
    <w:rsid w:val="00DD6A85"/>
    <w:rsid w:val="00DD6F26"/>
    <w:rsid w:val="00DE010E"/>
    <w:rsid w:val="00DE01A9"/>
    <w:rsid w:val="00DE1643"/>
    <w:rsid w:val="00DE1EF3"/>
    <w:rsid w:val="00DE24D1"/>
    <w:rsid w:val="00DE311E"/>
    <w:rsid w:val="00DE3243"/>
    <w:rsid w:val="00DE34D4"/>
    <w:rsid w:val="00DE35E7"/>
    <w:rsid w:val="00DE3C6B"/>
    <w:rsid w:val="00DE3D97"/>
    <w:rsid w:val="00DE42D8"/>
    <w:rsid w:val="00DE4874"/>
    <w:rsid w:val="00DE4955"/>
    <w:rsid w:val="00DE4CF1"/>
    <w:rsid w:val="00DE4FCB"/>
    <w:rsid w:val="00DE4FF3"/>
    <w:rsid w:val="00DE56F2"/>
    <w:rsid w:val="00DE5B1D"/>
    <w:rsid w:val="00DE5EA5"/>
    <w:rsid w:val="00DE7112"/>
    <w:rsid w:val="00DE773F"/>
    <w:rsid w:val="00DF0B7D"/>
    <w:rsid w:val="00DF15E3"/>
    <w:rsid w:val="00DF1791"/>
    <w:rsid w:val="00DF2157"/>
    <w:rsid w:val="00DF3446"/>
    <w:rsid w:val="00DF409B"/>
    <w:rsid w:val="00DF46DC"/>
    <w:rsid w:val="00DF47D3"/>
    <w:rsid w:val="00DF4C28"/>
    <w:rsid w:val="00DF51C4"/>
    <w:rsid w:val="00DF5404"/>
    <w:rsid w:val="00DF563B"/>
    <w:rsid w:val="00DF6D2C"/>
    <w:rsid w:val="00DF6EF2"/>
    <w:rsid w:val="00E001A2"/>
    <w:rsid w:val="00E0047A"/>
    <w:rsid w:val="00E00535"/>
    <w:rsid w:val="00E009E2"/>
    <w:rsid w:val="00E00A92"/>
    <w:rsid w:val="00E0120D"/>
    <w:rsid w:val="00E01392"/>
    <w:rsid w:val="00E01A11"/>
    <w:rsid w:val="00E01B71"/>
    <w:rsid w:val="00E01CA2"/>
    <w:rsid w:val="00E02220"/>
    <w:rsid w:val="00E0223A"/>
    <w:rsid w:val="00E029D6"/>
    <w:rsid w:val="00E03A43"/>
    <w:rsid w:val="00E03E71"/>
    <w:rsid w:val="00E042E8"/>
    <w:rsid w:val="00E04612"/>
    <w:rsid w:val="00E05076"/>
    <w:rsid w:val="00E054D0"/>
    <w:rsid w:val="00E06428"/>
    <w:rsid w:val="00E06A5A"/>
    <w:rsid w:val="00E06E71"/>
    <w:rsid w:val="00E077D8"/>
    <w:rsid w:val="00E077EB"/>
    <w:rsid w:val="00E10413"/>
    <w:rsid w:val="00E10E15"/>
    <w:rsid w:val="00E10F7B"/>
    <w:rsid w:val="00E116D3"/>
    <w:rsid w:val="00E117AF"/>
    <w:rsid w:val="00E11D02"/>
    <w:rsid w:val="00E12739"/>
    <w:rsid w:val="00E1282C"/>
    <w:rsid w:val="00E138FD"/>
    <w:rsid w:val="00E13D93"/>
    <w:rsid w:val="00E13E97"/>
    <w:rsid w:val="00E151B2"/>
    <w:rsid w:val="00E1545F"/>
    <w:rsid w:val="00E1548A"/>
    <w:rsid w:val="00E15945"/>
    <w:rsid w:val="00E15C56"/>
    <w:rsid w:val="00E15DB3"/>
    <w:rsid w:val="00E1602F"/>
    <w:rsid w:val="00E160E6"/>
    <w:rsid w:val="00E1612C"/>
    <w:rsid w:val="00E16293"/>
    <w:rsid w:val="00E16801"/>
    <w:rsid w:val="00E16BEA"/>
    <w:rsid w:val="00E172CA"/>
    <w:rsid w:val="00E17309"/>
    <w:rsid w:val="00E173B9"/>
    <w:rsid w:val="00E1759C"/>
    <w:rsid w:val="00E17CC4"/>
    <w:rsid w:val="00E203F8"/>
    <w:rsid w:val="00E2058B"/>
    <w:rsid w:val="00E2112F"/>
    <w:rsid w:val="00E21493"/>
    <w:rsid w:val="00E215E2"/>
    <w:rsid w:val="00E2187F"/>
    <w:rsid w:val="00E21E09"/>
    <w:rsid w:val="00E22423"/>
    <w:rsid w:val="00E25850"/>
    <w:rsid w:val="00E25D6D"/>
    <w:rsid w:val="00E25DD5"/>
    <w:rsid w:val="00E27535"/>
    <w:rsid w:val="00E27798"/>
    <w:rsid w:val="00E27836"/>
    <w:rsid w:val="00E2787E"/>
    <w:rsid w:val="00E27937"/>
    <w:rsid w:val="00E27BCA"/>
    <w:rsid w:val="00E27BFF"/>
    <w:rsid w:val="00E3025D"/>
    <w:rsid w:val="00E30810"/>
    <w:rsid w:val="00E30839"/>
    <w:rsid w:val="00E30B50"/>
    <w:rsid w:val="00E30CEB"/>
    <w:rsid w:val="00E31C74"/>
    <w:rsid w:val="00E31EBF"/>
    <w:rsid w:val="00E327F9"/>
    <w:rsid w:val="00E32897"/>
    <w:rsid w:val="00E32DDD"/>
    <w:rsid w:val="00E32EF2"/>
    <w:rsid w:val="00E3314A"/>
    <w:rsid w:val="00E33857"/>
    <w:rsid w:val="00E34102"/>
    <w:rsid w:val="00E34231"/>
    <w:rsid w:val="00E35191"/>
    <w:rsid w:val="00E355DE"/>
    <w:rsid w:val="00E358A3"/>
    <w:rsid w:val="00E358DB"/>
    <w:rsid w:val="00E35EC5"/>
    <w:rsid w:val="00E366BB"/>
    <w:rsid w:val="00E36C03"/>
    <w:rsid w:val="00E36EC9"/>
    <w:rsid w:val="00E370FC"/>
    <w:rsid w:val="00E379A0"/>
    <w:rsid w:val="00E401D1"/>
    <w:rsid w:val="00E40423"/>
    <w:rsid w:val="00E40760"/>
    <w:rsid w:val="00E415E3"/>
    <w:rsid w:val="00E418F3"/>
    <w:rsid w:val="00E41AE1"/>
    <w:rsid w:val="00E424B2"/>
    <w:rsid w:val="00E424F3"/>
    <w:rsid w:val="00E4290D"/>
    <w:rsid w:val="00E42BF7"/>
    <w:rsid w:val="00E42BFC"/>
    <w:rsid w:val="00E42C48"/>
    <w:rsid w:val="00E431E3"/>
    <w:rsid w:val="00E44671"/>
    <w:rsid w:val="00E446F0"/>
    <w:rsid w:val="00E44A05"/>
    <w:rsid w:val="00E44B25"/>
    <w:rsid w:val="00E44D8A"/>
    <w:rsid w:val="00E450CE"/>
    <w:rsid w:val="00E451F4"/>
    <w:rsid w:val="00E454EB"/>
    <w:rsid w:val="00E4568C"/>
    <w:rsid w:val="00E459F9"/>
    <w:rsid w:val="00E45C9A"/>
    <w:rsid w:val="00E45DA3"/>
    <w:rsid w:val="00E45E64"/>
    <w:rsid w:val="00E47106"/>
    <w:rsid w:val="00E472B7"/>
    <w:rsid w:val="00E476CE"/>
    <w:rsid w:val="00E477B4"/>
    <w:rsid w:val="00E4786F"/>
    <w:rsid w:val="00E47C68"/>
    <w:rsid w:val="00E47F9A"/>
    <w:rsid w:val="00E50BE7"/>
    <w:rsid w:val="00E510B6"/>
    <w:rsid w:val="00E511AF"/>
    <w:rsid w:val="00E51661"/>
    <w:rsid w:val="00E52465"/>
    <w:rsid w:val="00E52879"/>
    <w:rsid w:val="00E52FEA"/>
    <w:rsid w:val="00E531AC"/>
    <w:rsid w:val="00E5361A"/>
    <w:rsid w:val="00E53A4F"/>
    <w:rsid w:val="00E53FCC"/>
    <w:rsid w:val="00E5479F"/>
    <w:rsid w:val="00E54B93"/>
    <w:rsid w:val="00E55BEC"/>
    <w:rsid w:val="00E5600B"/>
    <w:rsid w:val="00E56265"/>
    <w:rsid w:val="00E5664D"/>
    <w:rsid w:val="00E57417"/>
    <w:rsid w:val="00E575BA"/>
    <w:rsid w:val="00E575CC"/>
    <w:rsid w:val="00E577C0"/>
    <w:rsid w:val="00E57F68"/>
    <w:rsid w:val="00E60199"/>
    <w:rsid w:val="00E6025C"/>
    <w:rsid w:val="00E610CE"/>
    <w:rsid w:val="00E614A7"/>
    <w:rsid w:val="00E616DE"/>
    <w:rsid w:val="00E61D0B"/>
    <w:rsid w:val="00E620EA"/>
    <w:rsid w:val="00E621C8"/>
    <w:rsid w:val="00E62D1E"/>
    <w:rsid w:val="00E63205"/>
    <w:rsid w:val="00E636FD"/>
    <w:rsid w:val="00E643F0"/>
    <w:rsid w:val="00E64748"/>
    <w:rsid w:val="00E64DE0"/>
    <w:rsid w:val="00E662B9"/>
    <w:rsid w:val="00E66499"/>
    <w:rsid w:val="00E66ADE"/>
    <w:rsid w:val="00E66E5D"/>
    <w:rsid w:val="00E672BD"/>
    <w:rsid w:val="00E676AB"/>
    <w:rsid w:val="00E67A8E"/>
    <w:rsid w:val="00E67FD4"/>
    <w:rsid w:val="00E70456"/>
    <w:rsid w:val="00E704B9"/>
    <w:rsid w:val="00E70E22"/>
    <w:rsid w:val="00E71630"/>
    <w:rsid w:val="00E71AF5"/>
    <w:rsid w:val="00E71B3C"/>
    <w:rsid w:val="00E724F1"/>
    <w:rsid w:val="00E7257C"/>
    <w:rsid w:val="00E72CAE"/>
    <w:rsid w:val="00E7374A"/>
    <w:rsid w:val="00E73CBB"/>
    <w:rsid w:val="00E73D17"/>
    <w:rsid w:val="00E73F4F"/>
    <w:rsid w:val="00E745B8"/>
    <w:rsid w:val="00E74E1A"/>
    <w:rsid w:val="00E74F31"/>
    <w:rsid w:val="00E752B1"/>
    <w:rsid w:val="00E756FB"/>
    <w:rsid w:val="00E75F2E"/>
    <w:rsid w:val="00E76162"/>
    <w:rsid w:val="00E76375"/>
    <w:rsid w:val="00E763E1"/>
    <w:rsid w:val="00E76465"/>
    <w:rsid w:val="00E7682E"/>
    <w:rsid w:val="00E76A5F"/>
    <w:rsid w:val="00E77453"/>
    <w:rsid w:val="00E776F3"/>
    <w:rsid w:val="00E77E6A"/>
    <w:rsid w:val="00E812E8"/>
    <w:rsid w:val="00E82F91"/>
    <w:rsid w:val="00E8373F"/>
    <w:rsid w:val="00E8383A"/>
    <w:rsid w:val="00E84587"/>
    <w:rsid w:val="00E84D14"/>
    <w:rsid w:val="00E84E0E"/>
    <w:rsid w:val="00E84E21"/>
    <w:rsid w:val="00E84F0F"/>
    <w:rsid w:val="00E84F92"/>
    <w:rsid w:val="00E853B2"/>
    <w:rsid w:val="00E853BE"/>
    <w:rsid w:val="00E85991"/>
    <w:rsid w:val="00E85E94"/>
    <w:rsid w:val="00E861CD"/>
    <w:rsid w:val="00E87795"/>
    <w:rsid w:val="00E90069"/>
    <w:rsid w:val="00E90533"/>
    <w:rsid w:val="00E90733"/>
    <w:rsid w:val="00E90A04"/>
    <w:rsid w:val="00E90C89"/>
    <w:rsid w:val="00E913DD"/>
    <w:rsid w:val="00E91FDA"/>
    <w:rsid w:val="00E925C9"/>
    <w:rsid w:val="00E92C8E"/>
    <w:rsid w:val="00E92D59"/>
    <w:rsid w:val="00E92FBF"/>
    <w:rsid w:val="00E92FC0"/>
    <w:rsid w:val="00E92FDE"/>
    <w:rsid w:val="00E9318B"/>
    <w:rsid w:val="00E93484"/>
    <w:rsid w:val="00E935B0"/>
    <w:rsid w:val="00E939FC"/>
    <w:rsid w:val="00E93F89"/>
    <w:rsid w:val="00E94C82"/>
    <w:rsid w:val="00E9512E"/>
    <w:rsid w:val="00E9604B"/>
    <w:rsid w:val="00E96DDB"/>
    <w:rsid w:val="00E97572"/>
    <w:rsid w:val="00E9794B"/>
    <w:rsid w:val="00EA04B3"/>
    <w:rsid w:val="00EA0AA1"/>
    <w:rsid w:val="00EA0B86"/>
    <w:rsid w:val="00EA0EEA"/>
    <w:rsid w:val="00EA124B"/>
    <w:rsid w:val="00EA15E6"/>
    <w:rsid w:val="00EA171E"/>
    <w:rsid w:val="00EA1884"/>
    <w:rsid w:val="00EA1C79"/>
    <w:rsid w:val="00EA1CB8"/>
    <w:rsid w:val="00EA1D0A"/>
    <w:rsid w:val="00EA1D2F"/>
    <w:rsid w:val="00EA1DD4"/>
    <w:rsid w:val="00EA2725"/>
    <w:rsid w:val="00EA280F"/>
    <w:rsid w:val="00EA2B67"/>
    <w:rsid w:val="00EA2D70"/>
    <w:rsid w:val="00EA30AA"/>
    <w:rsid w:val="00EA3295"/>
    <w:rsid w:val="00EA3697"/>
    <w:rsid w:val="00EA39A0"/>
    <w:rsid w:val="00EA3C92"/>
    <w:rsid w:val="00EA4794"/>
    <w:rsid w:val="00EA5558"/>
    <w:rsid w:val="00EA5A09"/>
    <w:rsid w:val="00EA7D05"/>
    <w:rsid w:val="00EA7DC6"/>
    <w:rsid w:val="00EB0331"/>
    <w:rsid w:val="00EB09A2"/>
    <w:rsid w:val="00EB14BD"/>
    <w:rsid w:val="00EB1FAB"/>
    <w:rsid w:val="00EB25F8"/>
    <w:rsid w:val="00EB31B2"/>
    <w:rsid w:val="00EB3A4B"/>
    <w:rsid w:val="00EB4BAD"/>
    <w:rsid w:val="00EB58BF"/>
    <w:rsid w:val="00EB59B3"/>
    <w:rsid w:val="00EB5F34"/>
    <w:rsid w:val="00EB6D08"/>
    <w:rsid w:val="00EB7C76"/>
    <w:rsid w:val="00EB7EF9"/>
    <w:rsid w:val="00EB7F7E"/>
    <w:rsid w:val="00EC0D02"/>
    <w:rsid w:val="00EC122F"/>
    <w:rsid w:val="00EC1694"/>
    <w:rsid w:val="00EC1C10"/>
    <w:rsid w:val="00EC1D23"/>
    <w:rsid w:val="00EC2951"/>
    <w:rsid w:val="00EC2A19"/>
    <w:rsid w:val="00EC35F3"/>
    <w:rsid w:val="00EC37F9"/>
    <w:rsid w:val="00EC3B50"/>
    <w:rsid w:val="00EC3BB5"/>
    <w:rsid w:val="00EC3DD9"/>
    <w:rsid w:val="00EC4497"/>
    <w:rsid w:val="00EC46B8"/>
    <w:rsid w:val="00EC4A3D"/>
    <w:rsid w:val="00EC4C73"/>
    <w:rsid w:val="00EC50FD"/>
    <w:rsid w:val="00EC5167"/>
    <w:rsid w:val="00EC5545"/>
    <w:rsid w:val="00EC5671"/>
    <w:rsid w:val="00EC60B6"/>
    <w:rsid w:val="00EC60EB"/>
    <w:rsid w:val="00EC7AF5"/>
    <w:rsid w:val="00ED0552"/>
    <w:rsid w:val="00ED0CDA"/>
    <w:rsid w:val="00ED1704"/>
    <w:rsid w:val="00ED28E9"/>
    <w:rsid w:val="00ED32F2"/>
    <w:rsid w:val="00ED330B"/>
    <w:rsid w:val="00ED35BC"/>
    <w:rsid w:val="00ED37DF"/>
    <w:rsid w:val="00ED3C75"/>
    <w:rsid w:val="00ED4D38"/>
    <w:rsid w:val="00ED4DC5"/>
    <w:rsid w:val="00ED5366"/>
    <w:rsid w:val="00ED53A0"/>
    <w:rsid w:val="00ED56F8"/>
    <w:rsid w:val="00ED5983"/>
    <w:rsid w:val="00ED599C"/>
    <w:rsid w:val="00ED5B0F"/>
    <w:rsid w:val="00ED5BF4"/>
    <w:rsid w:val="00ED630C"/>
    <w:rsid w:val="00ED70AC"/>
    <w:rsid w:val="00ED7430"/>
    <w:rsid w:val="00ED76AE"/>
    <w:rsid w:val="00ED7B94"/>
    <w:rsid w:val="00ED7DA0"/>
    <w:rsid w:val="00EE1D45"/>
    <w:rsid w:val="00EE1F8E"/>
    <w:rsid w:val="00EE24C0"/>
    <w:rsid w:val="00EE2645"/>
    <w:rsid w:val="00EE28AA"/>
    <w:rsid w:val="00EE326E"/>
    <w:rsid w:val="00EE37F3"/>
    <w:rsid w:val="00EE3C82"/>
    <w:rsid w:val="00EE4C19"/>
    <w:rsid w:val="00EE4D2C"/>
    <w:rsid w:val="00EE4F7C"/>
    <w:rsid w:val="00EE52A0"/>
    <w:rsid w:val="00EE549F"/>
    <w:rsid w:val="00EE592B"/>
    <w:rsid w:val="00EE5B11"/>
    <w:rsid w:val="00EE5E81"/>
    <w:rsid w:val="00EE606F"/>
    <w:rsid w:val="00EE61AD"/>
    <w:rsid w:val="00EE650B"/>
    <w:rsid w:val="00EE7C01"/>
    <w:rsid w:val="00EF0226"/>
    <w:rsid w:val="00EF0538"/>
    <w:rsid w:val="00EF0ABE"/>
    <w:rsid w:val="00EF1110"/>
    <w:rsid w:val="00EF1165"/>
    <w:rsid w:val="00EF1F5A"/>
    <w:rsid w:val="00EF2692"/>
    <w:rsid w:val="00EF3809"/>
    <w:rsid w:val="00EF39C0"/>
    <w:rsid w:val="00EF45D9"/>
    <w:rsid w:val="00EF492F"/>
    <w:rsid w:val="00EF49D2"/>
    <w:rsid w:val="00EF4B4E"/>
    <w:rsid w:val="00EF4D43"/>
    <w:rsid w:val="00EF4D8B"/>
    <w:rsid w:val="00EF515D"/>
    <w:rsid w:val="00EF5188"/>
    <w:rsid w:val="00EF60E7"/>
    <w:rsid w:val="00EF626D"/>
    <w:rsid w:val="00EF63A1"/>
    <w:rsid w:val="00EF681C"/>
    <w:rsid w:val="00EF7805"/>
    <w:rsid w:val="00EF7CAE"/>
    <w:rsid w:val="00EF7F1A"/>
    <w:rsid w:val="00EF7F39"/>
    <w:rsid w:val="00F00504"/>
    <w:rsid w:val="00F00637"/>
    <w:rsid w:val="00F00A54"/>
    <w:rsid w:val="00F00E09"/>
    <w:rsid w:val="00F013A0"/>
    <w:rsid w:val="00F01579"/>
    <w:rsid w:val="00F0191E"/>
    <w:rsid w:val="00F02094"/>
    <w:rsid w:val="00F020E1"/>
    <w:rsid w:val="00F0243C"/>
    <w:rsid w:val="00F02683"/>
    <w:rsid w:val="00F029F3"/>
    <w:rsid w:val="00F02F89"/>
    <w:rsid w:val="00F0343C"/>
    <w:rsid w:val="00F038DA"/>
    <w:rsid w:val="00F04667"/>
    <w:rsid w:val="00F049D8"/>
    <w:rsid w:val="00F04FC9"/>
    <w:rsid w:val="00F05D42"/>
    <w:rsid w:val="00F07286"/>
    <w:rsid w:val="00F07718"/>
    <w:rsid w:val="00F07C84"/>
    <w:rsid w:val="00F10EFF"/>
    <w:rsid w:val="00F1134B"/>
    <w:rsid w:val="00F1141B"/>
    <w:rsid w:val="00F1152C"/>
    <w:rsid w:val="00F11CB4"/>
    <w:rsid w:val="00F12247"/>
    <w:rsid w:val="00F123D5"/>
    <w:rsid w:val="00F128A7"/>
    <w:rsid w:val="00F14487"/>
    <w:rsid w:val="00F146A7"/>
    <w:rsid w:val="00F14B83"/>
    <w:rsid w:val="00F14EA3"/>
    <w:rsid w:val="00F14F06"/>
    <w:rsid w:val="00F15124"/>
    <w:rsid w:val="00F1556A"/>
    <w:rsid w:val="00F15F1C"/>
    <w:rsid w:val="00F15FF7"/>
    <w:rsid w:val="00F161B1"/>
    <w:rsid w:val="00F1633B"/>
    <w:rsid w:val="00F16603"/>
    <w:rsid w:val="00F16676"/>
    <w:rsid w:val="00F166AA"/>
    <w:rsid w:val="00F168F0"/>
    <w:rsid w:val="00F169CE"/>
    <w:rsid w:val="00F16A8B"/>
    <w:rsid w:val="00F173B6"/>
    <w:rsid w:val="00F1752F"/>
    <w:rsid w:val="00F177FD"/>
    <w:rsid w:val="00F208AF"/>
    <w:rsid w:val="00F2114C"/>
    <w:rsid w:val="00F21FDE"/>
    <w:rsid w:val="00F22073"/>
    <w:rsid w:val="00F22C83"/>
    <w:rsid w:val="00F22CFB"/>
    <w:rsid w:val="00F22F8E"/>
    <w:rsid w:val="00F23583"/>
    <w:rsid w:val="00F23786"/>
    <w:rsid w:val="00F23A95"/>
    <w:rsid w:val="00F23DD0"/>
    <w:rsid w:val="00F23E8E"/>
    <w:rsid w:val="00F240C2"/>
    <w:rsid w:val="00F2436C"/>
    <w:rsid w:val="00F24CD5"/>
    <w:rsid w:val="00F25EAE"/>
    <w:rsid w:val="00F2614F"/>
    <w:rsid w:val="00F267E7"/>
    <w:rsid w:val="00F26DE6"/>
    <w:rsid w:val="00F272DF"/>
    <w:rsid w:val="00F27699"/>
    <w:rsid w:val="00F27B05"/>
    <w:rsid w:val="00F30CE3"/>
    <w:rsid w:val="00F3118F"/>
    <w:rsid w:val="00F312BB"/>
    <w:rsid w:val="00F31C12"/>
    <w:rsid w:val="00F31DD4"/>
    <w:rsid w:val="00F32076"/>
    <w:rsid w:val="00F32505"/>
    <w:rsid w:val="00F32AAB"/>
    <w:rsid w:val="00F32E89"/>
    <w:rsid w:val="00F33227"/>
    <w:rsid w:val="00F33620"/>
    <w:rsid w:val="00F33F6D"/>
    <w:rsid w:val="00F341DD"/>
    <w:rsid w:val="00F342D9"/>
    <w:rsid w:val="00F34581"/>
    <w:rsid w:val="00F352D5"/>
    <w:rsid w:val="00F35788"/>
    <w:rsid w:val="00F360FF"/>
    <w:rsid w:val="00F36714"/>
    <w:rsid w:val="00F36C83"/>
    <w:rsid w:val="00F36E36"/>
    <w:rsid w:val="00F36E85"/>
    <w:rsid w:val="00F37488"/>
    <w:rsid w:val="00F375EE"/>
    <w:rsid w:val="00F400ED"/>
    <w:rsid w:val="00F402D2"/>
    <w:rsid w:val="00F40BCC"/>
    <w:rsid w:val="00F40D21"/>
    <w:rsid w:val="00F41382"/>
    <w:rsid w:val="00F41C60"/>
    <w:rsid w:val="00F41E61"/>
    <w:rsid w:val="00F41FF3"/>
    <w:rsid w:val="00F42132"/>
    <w:rsid w:val="00F42917"/>
    <w:rsid w:val="00F42D85"/>
    <w:rsid w:val="00F42F78"/>
    <w:rsid w:val="00F43077"/>
    <w:rsid w:val="00F43171"/>
    <w:rsid w:val="00F435E5"/>
    <w:rsid w:val="00F43837"/>
    <w:rsid w:val="00F440B3"/>
    <w:rsid w:val="00F443CD"/>
    <w:rsid w:val="00F44581"/>
    <w:rsid w:val="00F44CF7"/>
    <w:rsid w:val="00F44E9D"/>
    <w:rsid w:val="00F454B4"/>
    <w:rsid w:val="00F4550D"/>
    <w:rsid w:val="00F45666"/>
    <w:rsid w:val="00F45E6F"/>
    <w:rsid w:val="00F46004"/>
    <w:rsid w:val="00F465E1"/>
    <w:rsid w:val="00F46628"/>
    <w:rsid w:val="00F46645"/>
    <w:rsid w:val="00F46809"/>
    <w:rsid w:val="00F46C79"/>
    <w:rsid w:val="00F471BC"/>
    <w:rsid w:val="00F47372"/>
    <w:rsid w:val="00F50AC3"/>
    <w:rsid w:val="00F50B8C"/>
    <w:rsid w:val="00F50CDD"/>
    <w:rsid w:val="00F5116B"/>
    <w:rsid w:val="00F513BA"/>
    <w:rsid w:val="00F51700"/>
    <w:rsid w:val="00F51D72"/>
    <w:rsid w:val="00F520DE"/>
    <w:rsid w:val="00F52555"/>
    <w:rsid w:val="00F52EF0"/>
    <w:rsid w:val="00F530D3"/>
    <w:rsid w:val="00F5384E"/>
    <w:rsid w:val="00F53869"/>
    <w:rsid w:val="00F53ADC"/>
    <w:rsid w:val="00F54733"/>
    <w:rsid w:val="00F54C9A"/>
    <w:rsid w:val="00F54DEC"/>
    <w:rsid w:val="00F54F4F"/>
    <w:rsid w:val="00F55013"/>
    <w:rsid w:val="00F55257"/>
    <w:rsid w:val="00F55274"/>
    <w:rsid w:val="00F55D54"/>
    <w:rsid w:val="00F55E80"/>
    <w:rsid w:val="00F5619D"/>
    <w:rsid w:val="00F56314"/>
    <w:rsid w:val="00F567D0"/>
    <w:rsid w:val="00F568DE"/>
    <w:rsid w:val="00F56C01"/>
    <w:rsid w:val="00F56C5A"/>
    <w:rsid w:val="00F5722A"/>
    <w:rsid w:val="00F57318"/>
    <w:rsid w:val="00F57321"/>
    <w:rsid w:val="00F575C5"/>
    <w:rsid w:val="00F578D7"/>
    <w:rsid w:val="00F57FD5"/>
    <w:rsid w:val="00F6011B"/>
    <w:rsid w:val="00F60456"/>
    <w:rsid w:val="00F60A06"/>
    <w:rsid w:val="00F610E6"/>
    <w:rsid w:val="00F62182"/>
    <w:rsid w:val="00F62469"/>
    <w:rsid w:val="00F62833"/>
    <w:rsid w:val="00F62E01"/>
    <w:rsid w:val="00F62F1D"/>
    <w:rsid w:val="00F63247"/>
    <w:rsid w:val="00F64671"/>
    <w:rsid w:val="00F646CD"/>
    <w:rsid w:val="00F64B40"/>
    <w:rsid w:val="00F64DE4"/>
    <w:rsid w:val="00F64F0F"/>
    <w:rsid w:val="00F65102"/>
    <w:rsid w:val="00F65180"/>
    <w:rsid w:val="00F654FB"/>
    <w:rsid w:val="00F6564F"/>
    <w:rsid w:val="00F656AB"/>
    <w:rsid w:val="00F65775"/>
    <w:rsid w:val="00F657FF"/>
    <w:rsid w:val="00F65B6E"/>
    <w:rsid w:val="00F66007"/>
    <w:rsid w:val="00F66304"/>
    <w:rsid w:val="00F667C5"/>
    <w:rsid w:val="00F670B7"/>
    <w:rsid w:val="00F6724D"/>
    <w:rsid w:val="00F678FF"/>
    <w:rsid w:val="00F701CC"/>
    <w:rsid w:val="00F70B5B"/>
    <w:rsid w:val="00F71A8B"/>
    <w:rsid w:val="00F7214E"/>
    <w:rsid w:val="00F722AC"/>
    <w:rsid w:val="00F72496"/>
    <w:rsid w:val="00F72567"/>
    <w:rsid w:val="00F72C13"/>
    <w:rsid w:val="00F72C40"/>
    <w:rsid w:val="00F744CF"/>
    <w:rsid w:val="00F74658"/>
    <w:rsid w:val="00F751FF"/>
    <w:rsid w:val="00F75267"/>
    <w:rsid w:val="00F7533C"/>
    <w:rsid w:val="00F75750"/>
    <w:rsid w:val="00F75CBD"/>
    <w:rsid w:val="00F76A7E"/>
    <w:rsid w:val="00F774A2"/>
    <w:rsid w:val="00F775CE"/>
    <w:rsid w:val="00F77B0C"/>
    <w:rsid w:val="00F80D1F"/>
    <w:rsid w:val="00F8101F"/>
    <w:rsid w:val="00F8147C"/>
    <w:rsid w:val="00F816D9"/>
    <w:rsid w:val="00F81AE2"/>
    <w:rsid w:val="00F81BBC"/>
    <w:rsid w:val="00F81E21"/>
    <w:rsid w:val="00F81EAD"/>
    <w:rsid w:val="00F821A4"/>
    <w:rsid w:val="00F8270F"/>
    <w:rsid w:val="00F83039"/>
    <w:rsid w:val="00F8321F"/>
    <w:rsid w:val="00F8330D"/>
    <w:rsid w:val="00F83910"/>
    <w:rsid w:val="00F83B47"/>
    <w:rsid w:val="00F83CAE"/>
    <w:rsid w:val="00F83CBD"/>
    <w:rsid w:val="00F8462C"/>
    <w:rsid w:val="00F846FE"/>
    <w:rsid w:val="00F84771"/>
    <w:rsid w:val="00F84781"/>
    <w:rsid w:val="00F84BE0"/>
    <w:rsid w:val="00F853A3"/>
    <w:rsid w:val="00F8556C"/>
    <w:rsid w:val="00F85821"/>
    <w:rsid w:val="00F85B80"/>
    <w:rsid w:val="00F85DD3"/>
    <w:rsid w:val="00F85DD5"/>
    <w:rsid w:val="00F8660D"/>
    <w:rsid w:val="00F86C5C"/>
    <w:rsid w:val="00F86D2A"/>
    <w:rsid w:val="00F86D55"/>
    <w:rsid w:val="00F87871"/>
    <w:rsid w:val="00F87C75"/>
    <w:rsid w:val="00F90531"/>
    <w:rsid w:val="00F908E5"/>
    <w:rsid w:val="00F9098E"/>
    <w:rsid w:val="00F90B89"/>
    <w:rsid w:val="00F91103"/>
    <w:rsid w:val="00F91297"/>
    <w:rsid w:val="00F9161C"/>
    <w:rsid w:val="00F91CCC"/>
    <w:rsid w:val="00F91E9C"/>
    <w:rsid w:val="00F91FFD"/>
    <w:rsid w:val="00F9204B"/>
    <w:rsid w:val="00F923B5"/>
    <w:rsid w:val="00F928A5"/>
    <w:rsid w:val="00F92C18"/>
    <w:rsid w:val="00F92D06"/>
    <w:rsid w:val="00F9333F"/>
    <w:rsid w:val="00F9363E"/>
    <w:rsid w:val="00F93E88"/>
    <w:rsid w:val="00F94AD6"/>
    <w:rsid w:val="00F960E3"/>
    <w:rsid w:val="00F97371"/>
    <w:rsid w:val="00F97636"/>
    <w:rsid w:val="00F97CC6"/>
    <w:rsid w:val="00FA01C7"/>
    <w:rsid w:val="00FA0727"/>
    <w:rsid w:val="00FA0AF2"/>
    <w:rsid w:val="00FA1071"/>
    <w:rsid w:val="00FA11E4"/>
    <w:rsid w:val="00FA1661"/>
    <w:rsid w:val="00FA1A86"/>
    <w:rsid w:val="00FA2D1B"/>
    <w:rsid w:val="00FA3B00"/>
    <w:rsid w:val="00FA3B0C"/>
    <w:rsid w:val="00FA4D17"/>
    <w:rsid w:val="00FA4E74"/>
    <w:rsid w:val="00FA55E5"/>
    <w:rsid w:val="00FA584D"/>
    <w:rsid w:val="00FA5BA4"/>
    <w:rsid w:val="00FA7C33"/>
    <w:rsid w:val="00FB0115"/>
    <w:rsid w:val="00FB07B1"/>
    <w:rsid w:val="00FB09FA"/>
    <w:rsid w:val="00FB0AAB"/>
    <w:rsid w:val="00FB0B52"/>
    <w:rsid w:val="00FB0BEA"/>
    <w:rsid w:val="00FB1047"/>
    <w:rsid w:val="00FB1112"/>
    <w:rsid w:val="00FB2257"/>
    <w:rsid w:val="00FB23AB"/>
    <w:rsid w:val="00FB25CE"/>
    <w:rsid w:val="00FB2ACE"/>
    <w:rsid w:val="00FB3051"/>
    <w:rsid w:val="00FB313A"/>
    <w:rsid w:val="00FB32E7"/>
    <w:rsid w:val="00FB39B3"/>
    <w:rsid w:val="00FB4885"/>
    <w:rsid w:val="00FB4963"/>
    <w:rsid w:val="00FB49F6"/>
    <w:rsid w:val="00FB5265"/>
    <w:rsid w:val="00FB53E6"/>
    <w:rsid w:val="00FB54AC"/>
    <w:rsid w:val="00FB6459"/>
    <w:rsid w:val="00FB6787"/>
    <w:rsid w:val="00FB6839"/>
    <w:rsid w:val="00FB6BF1"/>
    <w:rsid w:val="00FB7410"/>
    <w:rsid w:val="00FC0294"/>
    <w:rsid w:val="00FC0ABD"/>
    <w:rsid w:val="00FC0E95"/>
    <w:rsid w:val="00FC107A"/>
    <w:rsid w:val="00FC1283"/>
    <w:rsid w:val="00FC1285"/>
    <w:rsid w:val="00FC12B3"/>
    <w:rsid w:val="00FC23D0"/>
    <w:rsid w:val="00FC2475"/>
    <w:rsid w:val="00FC25C2"/>
    <w:rsid w:val="00FC293B"/>
    <w:rsid w:val="00FC3076"/>
    <w:rsid w:val="00FC325D"/>
    <w:rsid w:val="00FC346C"/>
    <w:rsid w:val="00FC3907"/>
    <w:rsid w:val="00FC3CE1"/>
    <w:rsid w:val="00FC3DAF"/>
    <w:rsid w:val="00FC4A32"/>
    <w:rsid w:val="00FC4F5C"/>
    <w:rsid w:val="00FC584D"/>
    <w:rsid w:val="00FC5983"/>
    <w:rsid w:val="00FC6251"/>
    <w:rsid w:val="00FC644E"/>
    <w:rsid w:val="00FC655A"/>
    <w:rsid w:val="00FC6716"/>
    <w:rsid w:val="00FC6975"/>
    <w:rsid w:val="00FC6E41"/>
    <w:rsid w:val="00FC70B2"/>
    <w:rsid w:val="00FC74B1"/>
    <w:rsid w:val="00FC75B1"/>
    <w:rsid w:val="00FC7D0C"/>
    <w:rsid w:val="00FD0709"/>
    <w:rsid w:val="00FD08C1"/>
    <w:rsid w:val="00FD160A"/>
    <w:rsid w:val="00FD176F"/>
    <w:rsid w:val="00FD1CEE"/>
    <w:rsid w:val="00FD1FBC"/>
    <w:rsid w:val="00FD3184"/>
    <w:rsid w:val="00FD360C"/>
    <w:rsid w:val="00FD36DB"/>
    <w:rsid w:val="00FD3A37"/>
    <w:rsid w:val="00FD3D35"/>
    <w:rsid w:val="00FD43CF"/>
    <w:rsid w:val="00FD448F"/>
    <w:rsid w:val="00FD4A42"/>
    <w:rsid w:val="00FD4CFB"/>
    <w:rsid w:val="00FD4EFA"/>
    <w:rsid w:val="00FD5759"/>
    <w:rsid w:val="00FD5A23"/>
    <w:rsid w:val="00FD5FE5"/>
    <w:rsid w:val="00FD60A7"/>
    <w:rsid w:val="00FD6C8E"/>
    <w:rsid w:val="00FD72DD"/>
    <w:rsid w:val="00FD74A2"/>
    <w:rsid w:val="00FD7B74"/>
    <w:rsid w:val="00FD7EC9"/>
    <w:rsid w:val="00FE0375"/>
    <w:rsid w:val="00FE0A8A"/>
    <w:rsid w:val="00FE198B"/>
    <w:rsid w:val="00FE1C40"/>
    <w:rsid w:val="00FE2742"/>
    <w:rsid w:val="00FE27E1"/>
    <w:rsid w:val="00FE280F"/>
    <w:rsid w:val="00FE2A0A"/>
    <w:rsid w:val="00FE47FB"/>
    <w:rsid w:val="00FE4978"/>
    <w:rsid w:val="00FE4AEA"/>
    <w:rsid w:val="00FE4AF8"/>
    <w:rsid w:val="00FE4D64"/>
    <w:rsid w:val="00FE5106"/>
    <w:rsid w:val="00FE512D"/>
    <w:rsid w:val="00FE5803"/>
    <w:rsid w:val="00FE7717"/>
    <w:rsid w:val="00FE78E0"/>
    <w:rsid w:val="00FE79F2"/>
    <w:rsid w:val="00FF04C1"/>
    <w:rsid w:val="00FF1608"/>
    <w:rsid w:val="00FF1674"/>
    <w:rsid w:val="00FF179B"/>
    <w:rsid w:val="00FF184E"/>
    <w:rsid w:val="00FF1DCA"/>
    <w:rsid w:val="00FF2025"/>
    <w:rsid w:val="00FF2354"/>
    <w:rsid w:val="00FF2565"/>
    <w:rsid w:val="00FF2733"/>
    <w:rsid w:val="00FF2CAA"/>
    <w:rsid w:val="00FF34CF"/>
    <w:rsid w:val="00FF3609"/>
    <w:rsid w:val="00FF3999"/>
    <w:rsid w:val="00FF3C99"/>
    <w:rsid w:val="00FF3E46"/>
    <w:rsid w:val="00FF4914"/>
    <w:rsid w:val="00FF4A1E"/>
    <w:rsid w:val="00FF553C"/>
    <w:rsid w:val="00FF58B6"/>
    <w:rsid w:val="00FF605D"/>
    <w:rsid w:val="00FF610E"/>
    <w:rsid w:val="00FF725D"/>
    <w:rsid w:val="00FF769C"/>
    <w:rsid w:val="00FF77A5"/>
    <w:rsid w:val="00FF7A6D"/>
    <w:rsid w:val="00FF7D0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89B04A"/>
  <w15:chartTrackingRefBased/>
  <w15:docId w15:val="{C3631855-1801-4900-AE55-50D6EF6E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40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5166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it-IT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1661"/>
    <w:pPr>
      <w:keepNext/>
      <w:keepLines/>
      <w:spacing w:after="240" w:line="264" w:lineRule="auto"/>
      <w:outlineLvl w:val="1"/>
    </w:pPr>
    <w:rPr>
      <w:rFonts w:ascii="Calibri Light" w:eastAsia="Times New Roman" w:hAnsi="Calibri Light"/>
      <w:b/>
      <w:bCs/>
      <w:color w:val="FF3300"/>
      <w:sz w:val="36"/>
      <w:szCs w:val="26"/>
      <w:lang w:val="en-GB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5166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it-IT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166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it-IT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1661"/>
    <w:pPr>
      <w:keepNext/>
      <w:keepLines/>
      <w:spacing w:before="200" w:line="264" w:lineRule="auto"/>
      <w:outlineLvl w:val="7"/>
    </w:pPr>
    <w:rPr>
      <w:rFonts w:ascii="Arial" w:eastAsia="Times New Roman" w:hAnsi="Arial"/>
      <w:color w:val="404040"/>
      <w:sz w:val="20"/>
      <w:szCs w:val="20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BB2"/>
  </w:style>
  <w:style w:type="paragraph" w:styleId="Piedepgina">
    <w:name w:val="footer"/>
    <w:aliases w:val="EY Footer"/>
    <w:basedOn w:val="Normal"/>
    <w:link w:val="PiedepginaCa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EY Footer Car"/>
    <w:basedOn w:val="Fuentedeprrafopredeter"/>
    <w:link w:val="Piedepgina"/>
    <w:uiPriority w:val="99"/>
    <w:rsid w:val="00717BB2"/>
  </w:style>
  <w:style w:type="paragraph" w:styleId="Textodeglobo">
    <w:name w:val="Balloon Text"/>
    <w:basedOn w:val="Normal"/>
    <w:link w:val="TextodegloboCar"/>
    <w:uiPriority w:val="99"/>
    <w:semiHidden/>
    <w:unhideWhenUsed/>
    <w:rsid w:val="002B2668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B2668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155B8D"/>
  </w:style>
  <w:style w:type="character" w:styleId="Hipervnculo">
    <w:name w:val="Hyperlink"/>
    <w:uiPriority w:val="99"/>
    <w:unhideWhenUsed/>
    <w:rsid w:val="0070184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072CF"/>
    <w:pPr>
      <w:widowControl w:val="0"/>
      <w:suppressAutoHyphens/>
      <w:ind w:left="720"/>
      <w:contextualSpacing/>
      <w:jc w:val="both"/>
    </w:pPr>
    <w:rPr>
      <w:rFonts w:ascii="Calibri" w:eastAsia="Calibri" w:hAnsi="Calibri"/>
      <w:kern w:val="2"/>
      <w:sz w:val="20"/>
      <w:lang w:val="it-IT" w:eastAsia="zh-CN" w:bidi="hi-IN"/>
    </w:rPr>
  </w:style>
  <w:style w:type="character" w:customStyle="1" w:styleId="Ttulo1Car">
    <w:name w:val="Título 1 Car"/>
    <w:link w:val="Ttulo1"/>
    <w:uiPriority w:val="9"/>
    <w:rsid w:val="00E51661"/>
    <w:rPr>
      <w:rFonts w:ascii="Calibri Light" w:eastAsia="Times New Roman" w:hAnsi="Calibri Light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link w:val="Ttulo2"/>
    <w:uiPriority w:val="9"/>
    <w:rsid w:val="00E51661"/>
    <w:rPr>
      <w:rFonts w:ascii="Calibri Light" w:eastAsia="Times New Roman" w:hAnsi="Calibri Light"/>
      <w:b/>
      <w:bCs/>
      <w:color w:val="FF3300"/>
      <w:sz w:val="36"/>
      <w:szCs w:val="26"/>
      <w:lang w:val="en-GB" w:eastAsia="en-US"/>
    </w:rPr>
  </w:style>
  <w:style w:type="character" w:customStyle="1" w:styleId="Ttulo3Car">
    <w:name w:val="Título 3 Car"/>
    <w:link w:val="Ttulo3"/>
    <w:uiPriority w:val="9"/>
    <w:rsid w:val="00E51661"/>
    <w:rPr>
      <w:rFonts w:ascii="Calibri Light" w:eastAsia="Times New Roman" w:hAnsi="Calibri Light"/>
      <w:b/>
      <w:bCs/>
      <w:sz w:val="26"/>
      <w:szCs w:val="26"/>
      <w:lang w:eastAsia="es-ES"/>
    </w:rPr>
  </w:style>
  <w:style w:type="character" w:customStyle="1" w:styleId="Ttulo4Car">
    <w:name w:val="Título 4 Car"/>
    <w:link w:val="Ttulo4"/>
    <w:uiPriority w:val="9"/>
    <w:rsid w:val="00E51661"/>
    <w:rPr>
      <w:rFonts w:ascii="Calibri" w:eastAsia="Times New Roman" w:hAnsi="Calibri"/>
      <w:b/>
      <w:bCs/>
      <w:sz w:val="28"/>
      <w:szCs w:val="28"/>
      <w:lang w:eastAsia="es-ES"/>
    </w:rPr>
  </w:style>
  <w:style w:type="character" w:customStyle="1" w:styleId="Ttulo8Car">
    <w:name w:val="Título 8 Car"/>
    <w:link w:val="Ttulo8"/>
    <w:uiPriority w:val="9"/>
    <w:semiHidden/>
    <w:rsid w:val="00E51661"/>
    <w:rPr>
      <w:rFonts w:ascii="Arial" w:eastAsia="Times New Roman" w:hAnsi="Arial"/>
      <w:color w:val="404040"/>
      <w:lang w:val="en-GB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E51661"/>
    <w:rPr>
      <w:sz w:val="20"/>
      <w:szCs w:val="20"/>
      <w:lang w:val="it-IT"/>
    </w:rPr>
  </w:style>
  <w:style w:type="character" w:customStyle="1" w:styleId="TextonotapieCar">
    <w:name w:val="Texto nota pie Car"/>
    <w:link w:val="Textonotapie"/>
    <w:uiPriority w:val="99"/>
    <w:rsid w:val="00E51661"/>
    <w:rPr>
      <w:lang w:eastAsia="es-ES"/>
    </w:rPr>
  </w:style>
  <w:style w:type="character" w:styleId="Refdenotaalpie">
    <w:name w:val="footnote reference"/>
    <w:uiPriority w:val="99"/>
    <w:semiHidden/>
    <w:unhideWhenUsed/>
    <w:rsid w:val="00E51661"/>
    <w:rPr>
      <w:vertAlign w:val="superscript"/>
    </w:rPr>
  </w:style>
  <w:style w:type="character" w:styleId="Refdecomentario">
    <w:name w:val="annotation reference"/>
    <w:uiPriority w:val="99"/>
    <w:unhideWhenUsed/>
    <w:rsid w:val="00E516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1661"/>
    <w:rPr>
      <w:sz w:val="20"/>
      <w:szCs w:val="20"/>
      <w:lang w:val="it-IT"/>
    </w:rPr>
  </w:style>
  <w:style w:type="character" w:customStyle="1" w:styleId="TextocomentarioCar">
    <w:name w:val="Texto comentario Car"/>
    <w:link w:val="Textocomentario"/>
    <w:uiPriority w:val="99"/>
    <w:rsid w:val="00E51661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66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51661"/>
    <w:rPr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E51661"/>
    <w:pPr>
      <w:widowControl w:val="0"/>
      <w:autoSpaceDE w:val="0"/>
      <w:autoSpaceDN w:val="0"/>
    </w:pPr>
    <w:rPr>
      <w:rFonts w:ascii="Arial" w:eastAsia="Arial" w:hAnsi="Arial"/>
      <w:sz w:val="20"/>
      <w:szCs w:val="20"/>
      <w:lang w:val="x-none" w:eastAsia="en-US"/>
    </w:rPr>
  </w:style>
  <w:style w:type="character" w:customStyle="1" w:styleId="TextoindependienteCar">
    <w:name w:val="Texto independiente Car"/>
    <w:link w:val="Textoindependiente"/>
    <w:uiPriority w:val="1"/>
    <w:rsid w:val="00E51661"/>
    <w:rPr>
      <w:rFonts w:ascii="Arial" w:eastAsia="Arial" w:hAnsi="Arial"/>
      <w:lang w:val="x-none" w:eastAsia="en-US"/>
    </w:rPr>
  </w:style>
  <w:style w:type="paragraph" w:styleId="NormalWeb">
    <w:name w:val="Normal (Web)"/>
    <w:basedOn w:val="Normal"/>
    <w:uiPriority w:val="99"/>
    <w:unhideWhenUsed/>
    <w:rsid w:val="00E51661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paragraph" w:styleId="Revisin">
    <w:name w:val="Revision"/>
    <w:uiPriority w:val="99"/>
    <w:semiHidden/>
    <w:rsid w:val="00E51661"/>
    <w:pPr>
      <w:numPr>
        <w:numId w:val="1"/>
      </w:numPr>
    </w:pPr>
    <w:rPr>
      <w:rFonts w:ascii="Arial" w:eastAsia="Arial" w:hAnsi="Arial"/>
      <w:color w:val="53565A"/>
      <w:sz w:val="22"/>
      <w:szCs w:val="22"/>
      <w:lang w:val="en-GB" w:eastAsia="en-US"/>
    </w:rPr>
  </w:style>
  <w:style w:type="character" w:customStyle="1" w:styleId="PrrafodelistaCar">
    <w:name w:val="Párrafo de lista Car"/>
    <w:link w:val="Prrafodelista"/>
    <w:uiPriority w:val="34"/>
    <w:locked/>
    <w:rsid w:val="00E51661"/>
    <w:rPr>
      <w:rFonts w:ascii="Calibri" w:eastAsia="Calibri" w:hAnsi="Calibri"/>
      <w:kern w:val="2"/>
      <w:szCs w:val="24"/>
      <w:lang w:eastAsia="zh-CN" w:bidi="hi-IN"/>
    </w:rPr>
  </w:style>
  <w:style w:type="character" w:customStyle="1" w:styleId="SourceChar">
    <w:name w:val="Source Char"/>
    <w:link w:val="Source"/>
    <w:locked/>
    <w:rsid w:val="00E51661"/>
    <w:rPr>
      <w:color w:val="53565A"/>
      <w:sz w:val="16"/>
    </w:rPr>
  </w:style>
  <w:style w:type="paragraph" w:customStyle="1" w:styleId="Source">
    <w:name w:val="Source"/>
    <w:basedOn w:val="Normal"/>
    <w:link w:val="SourceChar"/>
    <w:qFormat/>
    <w:rsid w:val="00E51661"/>
    <w:pPr>
      <w:spacing w:before="120" w:after="120" w:line="264" w:lineRule="auto"/>
      <w:jc w:val="right"/>
    </w:pPr>
    <w:rPr>
      <w:color w:val="53565A"/>
      <w:sz w:val="16"/>
      <w:szCs w:val="20"/>
      <w:lang w:val="it-IT" w:eastAsia="it-IT"/>
    </w:rPr>
  </w:style>
  <w:style w:type="character" w:customStyle="1" w:styleId="SecondlevellistChar">
    <w:name w:val="Second level list Char"/>
    <w:link w:val="Secondlevellist"/>
    <w:locked/>
    <w:rsid w:val="00E51661"/>
    <w:rPr>
      <w:lang w:val="x-none" w:eastAsia="x-none"/>
    </w:rPr>
  </w:style>
  <w:style w:type="paragraph" w:customStyle="1" w:styleId="Secondlevellist">
    <w:name w:val="Second level list"/>
    <w:basedOn w:val="Prrafodelista"/>
    <w:link w:val="SecondlevellistChar"/>
    <w:qFormat/>
    <w:rsid w:val="00E51661"/>
    <w:pPr>
      <w:widowControl/>
      <w:suppressAutoHyphens w:val="0"/>
      <w:spacing w:after="60" w:line="264" w:lineRule="auto"/>
      <w:ind w:left="0"/>
      <w:contextualSpacing w:val="0"/>
      <w:jc w:val="left"/>
    </w:pPr>
    <w:rPr>
      <w:rFonts w:ascii="Cambria" w:eastAsia="MS Mincho" w:hAnsi="Cambria"/>
      <w:kern w:val="0"/>
      <w:szCs w:val="20"/>
      <w:lang w:val="x-none" w:eastAsia="x-none" w:bidi="ar-SA"/>
    </w:rPr>
  </w:style>
  <w:style w:type="character" w:customStyle="1" w:styleId="Bilanci-TestoCarattere">
    <w:name w:val="Bilanci - Testo Carattere"/>
    <w:link w:val="Bilanci-Testo"/>
    <w:locked/>
    <w:rsid w:val="00E51661"/>
    <w:rPr>
      <w:rFonts w:ascii="Verdana" w:hAnsi="Verdana"/>
      <w:sz w:val="18"/>
      <w:szCs w:val="18"/>
    </w:rPr>
  </w:style>
  <w:style w:type="paragraph" w:customStyle="1" w:styleId="Bilanci-Testo">
    <w:name w:val="Bilanci - Testo"/>
    <w:basedOn w:val="Normal"/>
    <w:link w:val="Bilanci-TestoCarattere"/>
    <w:qFormat/>
    <w:rsid w:val="00E51661"/>
    <w:pPr>
      <w:spacing w:line="300" w:lineRule="exact"/>
    </w:pPr>
    <w:rPr>
      <w:rFonts w:ascii="Verdana" w:hAnsi="Verdana"/>
      <w:sz w:val="18"/>
      <w:szCs w:val="18"/>
      <w:lang w:val="it-IT" w:eastAsia="it-IT"/>
    </w:rPr>
  </w:style>
  <w:style w:type="paragraph" w:customStyle="1" w:styleId="bullet">
    <w:name w:val="bullet"/>
    <w:basedOn w:val="Bilanci-Testo"/>
    <w:uiPriority w:val="99"/>
    <w:qFormat/>
    <w:rsid w:val="00E51661"/>
    <w:pPr>
      <w:numPr>
        <w:numId w:val="2"/>
      </w:numPr>
    </w:pPr>
    <w:rPr>
      <w:rFonts w:ascii="Arial" w:eastAsia="Calibri" w:hAnsi="Arial"/>
      <w:szCs w:val="22"/>
    </w:rPr>
  </w:style>
  <w:style w:type="character" w:customStyle="1" w:styleId="Bilanci-TestoChar">
    <w:name w:val="Bilanci - Testo Char"/>
    <w:rsid w:val="00E51661"/>
    <w:rPr>
      <w:rFonts w:ascii="Arial" w:eastAsia="Calibri" w:hAnsi="Arial" w:cs="Times New Roman" w:hint="default"/>
      <w:sz w:val="18"/>
      <w:szCs w:val="22"/>
      <w:lang w:eastAsia="en-US"/>
    </w:rPr>
  </w:style>
  <w:style w:type="paragraph" w:customStyle="1" w:styleId="Bilanci-Titolo2">
    <w:name w:val="Bilanci - Titolo 2"/>
    <w:basedOn w:val="Normal"/>
    <w:next w:val="Bilanci-Testo"/>
    <w:link w:val="Bilanci-Titolo2Char"/>
    <w:qFormat/>
    <w:rsid w:val="00E51661"/>
    <w:pPr>
      <w:spacing w:line="300" w:lineRule="exact"/>
    </w:pPr>
    <w:rPr>
      <w:rFonts w:ascii="Arial" w:eastAsia="Calibri" w:hAnsi="Arial" w:cs="Arial"/>
      <w:b/>
      <w:color w:val="FF6600"/>
      <w:szCs w:val="22"/>
      <w:lang w:val="it-IT" w:eastAsia="en-US"/>
    </w:rPr>
  </w:style>
  <w:style w:type="character" w:customStyle="1" w:styleId="Bilanci-Titolo2Char">
    <w:name w:val="Bilanci - Titolo 2 Char"/>
    <w:link w:val="Bilanci-Titolo2"/>
    <w:rsid w:val="00E51661"/>
    <w:rPr>
      <w:rFonts w:ascii="Arial" w:eastAsia="Calibri" w:hAnsi="Arial" w:cs="Arial"/>
      <w:b/>
      <w:color w:val="FF6600"/>
      <w:sz w:val="24"/>
      <w:szCs w:val="22"/>
      <w:lang w:eastAsia="en-US"/>
    </w:rPr>
  </w:style>
  <w:style w:type="paragraph" w:customStyle="1" w:styleId="Bilanci-tabellenote">
    <w:name w:val="Bilanci - tabelle note"/>
    <w:basedOn w:val="Bilanci-Testo"/>
    <w:link w:val="Bilanci-tabellenoteChar"/>
    <w:qFormat/>
    <w:rsid w:val="00E51661"/>
    <w:pPr>
      <w:spacing w:line="240" w:lineRule="auto"/>
      <w:ind w:left="284" w:hanging="284"/>
    </w:pPr>
    <w:rPr>
      <w:rFonts w:ascii="Arial" w:eastAsia="Calibri" w:hAnsi="Arial" w:cs="Arial"/>
      <w:sz w:val="14"/>
      <w:szCs w:val="22"/>
    </w:rPr>
  </w:style>
  <w:style w:type="character" w:customStyle="1" w:styleId="Bilanci-tabellenoteChar">
    <w:name w:val="Bilanci - tabelle note Char"/>
    <w:link w:val="Bilanci-tabellenote"/>
    <w:rsid w:val="00E51661"/>
    <w:rPr>
      <w:rFonts w:ascii="Arial" w:eastAsia="Calibri" w:hAnsi="Arial" w:cs="Arial"/>
      <w:sz w:val="14"/>
      <w:szCs w:val="22"/>
    </w:rPr>
  </w:style>
  <w:style w:type="character" w:styleId="Hipervnculovisitado">
    <w:name w:val="FollowedHyperlink"/>
    <w:uiPriority w:val="99"/>
    <w:semiHidden/>
    <w:unhideWhenUsed/>
    <w:rsid w:val="00E51661"/>
    <w:rPr>
      <w:color w:val="954F72"/>
      <w:u w:val="single"/>
    </w:rPr>
  </w:style>
  <w:style w:type="table" w:styleId="Tablaconcuadrcula">
    <w:name w:val="Table Grid"/>
    <w:basedOn w:val="Tablanormal"/>
    <w:uiPriority w:val="59"/>
    <w:rsid w:val="00E5166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E51661"/>
    <w:rPr>
      <w:color w:val="605E5C"/>
      <w:shd w:val="clear" w:color="auto" w:fill="E1DFDD"/>
    </w:rPr>
  </w:style>
  <w:style w:type="character" w:customStyle="1" w:styleId="Bilanci-testorientriCarattere">
    <w:name w:val="Bilanci - testo rientri Carattere"/>
    <w:link w:val="Bilanci-testorientri"/>
    <w:locked/>
    <w:rsid w:val="00E51661"/>
    <w:rPr>
      <w:lang w:val="x-none" w:eastAsia="x-none"/>
    </w:rPr>
  </w:style>
  <w:style w:type="paragraph" w:customStyle="1" w:styleId="Bilanci-testorientri">
    <w:name w:val="Bilanci - testo rientri"/>
    <w:basedOn w:val="Bilanci-Testo"/>
    <w:link w:val="Bilanci-testorientriCarattere"/>
    <w:qFormat/>
    <w:rsid w:val="00E51661"/>
    <w:pPr>
      <w:numPr>
        <w:numId w:val="5"/>
      </w:numPr>
    </w:pPr>
    <w:rPr>
      <w:rFonts w:ascii="Cambria" w:hAnsi="Cambria"/>
      <w:sz w:val="20"/>
      <w:szCs w:val="20"/>
      <w:lang w:val="x-none" w:eastAsia="x-none"/>
    </w:rPr>
  </w:style>
  <w:style w:type="paragraph" w:customStyle="1" w:styleId="Default">
    <w:name w:val="Default"/>
    <w:rsid w:val="00E516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E51661"/>
    <w:rPr>
      <w:color w:val="605E5C"/>
      <w:shd w:val="clear" w:color="auto" w:fill="E1DFDD"/>
    </w:rPr>
  </w:style>
  <w:style w:type="table" w:customStyle="1" w:styleId="table795">
    <w:name w:val="table_795"/>
    <w:basedOn w:val="Tablanormal"/>
    <w:rsid w:val="00E51661"/>
    <w:rPr>
      <w:rFonts w:ascii="Times New Roman" w:eastAsia="Times New Roman" w:hAnsi="Times New Roman"/>
    </w:rPr>
    <w:tblPr/>
  </w:style>
  <w:style w:type="table" w:styleId="Sombreadomedio2-nfasis2">
    <w:name w:val="Medium Shading 2 Accent 2"/>
    <w:basedOn w:val="Tablanormal"/>
    <w:uiPriority w:val="64"/>
    <w:rsid w:val="00E51661"/>
    <w:rPr>
      <w:rFonts w:ascii="Calibri" w:eastAsia="Calibri" w:hAnsi="Calibri"/>
      <w:sz w:val="22"/>
      <w:szCs w:val="22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umberedHeading4">
    <w:name w:val="Numbered Heading 4"/>
    <w:basedOn w:val="Ttulo4"/>
    <w:link w:val="NumberedHeading4Char"/>
    <w:qFormat/>
    <w:rsid w:val="00E51661"/>
    <w:pPr>
      <w:keepLines/>
      <w:numPr>
        <w:numId w:val="6"/>
      </w:numPr>
      <w:spacing w:before="200" w:after="120" w:line="264" w:lineRule="auto"/>
      <w:ind w:left="357" w:hanging="357"/>
    </w:pPr>
    <w:rPr>
      <w:rFonts w:ascii="Calibri Light" w:hAnsi="Calibri Light"/>
      <w:iCs/>
      <w:color w:val="0033A0"/>
      <w:sz w:val="22"/>
      <w:szCs w:val="22"/>
      <w:lang w:val="en-GB" w:eastAsia="en-US"/>
    </w:rPr>
  </w:style>
  <w:style w:type="character" w:customStyle="1" w:styleId="NumberedHeading4Char">
    <w:name w:val="Numbered Heading 4 Char"/>
    <w:link w:val="NumberedHeading4"/>
    <w:rsid w:val="00E51661"/>
    <w:rPr>
      <w:rFonts w:ascii="Calibri Light" w:eastAsia="Times New Roman" w:hAnsi="Calibri Light"/>
      <w:b/>
      <w:bCs/>
      <w:iCs/>
      <w:color w:val="0033A0"/>
      <w:sz w:val="22"/>
      <w:szCs w:val="22"/>
      <w:lang w:val="en-GB" w:eastAsia="en-US"/>
    </w:rPr>
  </w:style>
  <w:style w:type="table" w:styleId="Sombreadomedio2-nfasis6">
    <w:name w:val="Medium Shading 2 Accent 6"/>
    <w:basedOn w:val="Tablanormal"/>
    <w:uiPriority w:val="64"/>
    <w:rsid w:val="00E51661"/>
    <w:rPr>
      <w:rFonts w:ascii="Calibri" w:eastAsia="Calibri" w:hAnsi="Calibri"/>
      <w:sz w:val="22"/>
      <w:szCs w:val="22"/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fasis">
    <w:name w:val="Emphasis"/>
    <w:uiPriority w:val="20"/>
    <w:qFormat/>
    <w:rsid w:val="00E51661"/>
    <w:rPr>
      <w:i/>
      <w:iCs/>
    </w:rPr>
  </w:style>
  <w:style w:type="paragraph" w:customStyle="1" w:styleId="HeadingResults">
    <w:name w:val="Heading Results"/>
    <w:basedOn w:val="Ttulo4"/>
    <w:link w:val="HeadingResultsChar"/>
    <w:qFormat/>
    <w:rsid w:val="00E51661"/>
    <w:pPr>
      <w:keepLines/>
      <w:spacing w:before="360" w:after="0" w:line="264" w:lineRule="auto"/>
    </w:pPr>
    <w:rPr>
      <w:rFonts w:ascii="Calibri Light" w:hAnsi="Calibri Light"/>
      <w:iCs/>
      <w:color w:val="0033A0"/>
      <w:sz w:val="22"/>
      <w:szCs w:val="22"/>
      <w:lang w:val="en-GB" w:eastAsia="en-US"/>
    </w:rPr>
  </w:style>
  <w:style w:type="character" w:customStyle="1" w:styleId="HeadingResultsChar">
    <w:name w:val="Heading Results Char"/>
    <w:link w:val="HeadingResults"/>
    <w:rsid w:val="00E51661"/>
    <w:rPr>
      <w:rFonts w:ascii="Calibri Light" w:eastAsia="Times New Roman" w:hAnsi="Calibri Light"/>
      <w:b/>
      <w:bCs/>
      <w:iCs/>
      <w:color w:val="0033A0"/>
      <w:sz w:val="22"/>
      <w:szCs w:val="22"/>
      <w:lang w:val="en-GB" w:eastAsia="en-US"/>
    </w:rPr>
  </w:style>
  <w:style w:type="character" w:customStyle="1" w:styleId="elencoputnatoCarattere">
    <w:name w:val="elenco putnato Carattere"/>
    <w:link w:val="elencoputnato"/>
    <w:locked/>
    <w:rsid w:val="00E51661"/>
    <w:rPr>
      <w:rFonts w:ascii="Verdana" w:hAnsi="Verdana"/>
      <w:sz w:val="18"/>
      <w:szCs w:val="18"/>
    </w:rPr>
  </w:style>
  <w:style w:type="paragraph" w:customStyle="1" w:styleId="elencoputnato">
    <w:name w:val="elenco putnato"/>
    <w:basedOn w:val="Bilanci-Testo"/>
    <w:link w:val="elencoputnatoCarattere"/>
    <w:autoRedefine/>
    <w:qFormat/>
    <w:rsid w:val="00E51661"/>
  </w:style>
  <w:style w:type="paragraph" w:styleId="Descripcin">
    <w:name w:val="caption"/>
    <w:basedOn w:val="Normal"/>
    <w:next w:val="Normal"/>
    <w:uiPriority w:val="35"/>
    <w:semiHidden/>
    <w:unhideWhenUsed/>
    <w:qFormat/>
    <w:rsid w:val="00E51661"/>
    <w:pPr>
      <w:spacing w:after="200"/>
    </w:pPr>
    <w:rPr>
      <w:i/>
      <w:iCs/>
      <w:color w:val="44546A"/>
      <w:sz w:val="18"/>
      <w:szCs w:val="18"/>
      <w:lang w:val="it-IT"/>
    </w:rPr>
  </w:style>
  <w:style w:type="character" w:customStyle="1" w:styleId="ui-text">
    <w:name w:val="ui-text"/>
    <w:rsid w:val="00E51661"/>
  </w:style>
  <w:style w:type="character" w:customStyle="1" w:styleId="Menzionenonrisolta2">
    <w:name w:val="Menzione non risolta2"/>
    <w:uiPriority w:val="99"/>
    <w:semiHidden/>
    <w:unhideWhenUsed/>
    <w:rsid w:val="00E51661"/>
    <w:rPr>
      <w:color w:val="605E5C"/>
      <w:shd w:val="clear" w:color="auto" w:fill="E1DFDD"/>
    </w:rPr>
  </w:style>
  <w:style w:type="paragraph" w:styleId="TDC4">
    <w:name w:val="toc 4"/>
    <w:basedOn w:val="Normal"/>
    <w:next w:val="Normal"/>
    <w:autoRedefine/>
    <w:uiPriority w:val="39"/>
    <w:rsid w:val="00E51661"/>
    <w:pPr>
      <w:tabs>
        <w:tab w:val="left" w:pos="880"/>
        <w:tab w:val="right" w:leader="dot" w:pos="8495"/>
      </w:tabs>
      <w:spacing w:line="300" w:lineRule="exact"/>
    </w:pPr>
    <w:rPr>
      <w:rFonts w:ascii="Verdana" w:hAnsi="Verdana"/>
      <w:sz w:val="18"/>
      <w:szCs w:val="18"/>
      <w:lang w:val="en-US" w:eastAsia="en-US"/>
    </w:rPr>
  </w:style>
  <w:style w:type="character" w:customStyle="1" w:styleId="Bilanci-testorientriChar1">
    <w:name w:val="Bilanci - testo rientri Char_1"/>
    <w:link w:val="Bilanci-testorientri1"/>
    <w:rsid w:val="00E51661"/>
  </w:style>
  <w:style w:type="paragraph" w:customStyle="1" w:styleId="Bilanci-testorientri1">
    <w:name w:val="Bilanci - testo rientri_1"/>
    <w:basedOn w:val="Bilanci-Testo"/>
    <w:link w:val="Bilanci-testorientriChar1"/>
    <w:qFormat/>
    <w:rsid w:val="00E51661"/>
    <w:pPr>
      <w:numPr>
        <w:numId w:val="7"/>
      </w:numPr>
      <w:ind w:left="641" w:hanging="284"/>
    </w:pPr>
    <w:rPr>
      <w:rFonts w:ascii="Cambria" w:hAnsi="Cambria"/>
      <w:sz w:val="20"/>
      <w:szCs w:val="20"/>
    </w:rPr>
  </w:style>
  <w:style w:type="character" w:customStyle="1" w:styleId="Menzionenonrisolta3">
    <w:name w:val="Menzione non risolta3"/>
    <w:uiPriority w:val="99"/>
    <w:semiHidden/>
    <w:unhideWhenUsed/>
    <w:rsid w:val="00E51661"/>
    <w:rPr>
      <w:color w:val="605E5C"/>
      <w:shd w:val="clear" w:color="auto" w:fill="E1DFDD"/>
    </w:rPr>
  </w:style>
  <w:style w:type="character" w:customStyle="1" w:styleId="Bilanci-testorientriChar">
    <w:name w:val="Bilanci - testo rientri Char"/>
    <w:rsid w:val="00E51661"/>
    <w:rPr>
      <w:rFonts w:ascii="Arial" w:eastAsia="Calibri" w:hAnsi="Arial" w:cs="Times New Roman" w:hint="default"/>
      <w:sz w:val="18"/>
      <w:szCs w:val="22"/>
      <w:lang w:val="it-IT" w:eastAsia="en-US"/>
    </w:rPr>
  </w:style>
  <w:style w:type="character" w:customStyle="1" w:styleId="Menzionenonrisolta4">
    <w:name w:val="Menzione non risolta4"/>
    <w:uiPriority w:val="99"/>
    <w:semiHidden/>
    <w:unhideWhenUsed/>
    <w:rsid w:val="00E51661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E51661"/>
  </w:style>
  <w:style w:type="character" w:customStyle="1" w:styleId="Menzionenonrisolta5">
    <w:name w:val="Menzione non risolta5"/>
    <w:basedOn w:val="Fuentedeprrafopredeter"/>
    <w:uiPriority w:val="99"/>
    <w:semiHidden/>
    <w:unhideWhenUsed/>
    <w:rsid w:val="00130EA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812E8"/>
    <w:rPr>
      <w:rFonts w:eastAsiaTheme="minorHAnsi" w:cs="Calibri"/>
      <w:lang w:val="it-IT" w:eastAsia="it-I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912A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912A0"/>
    <w:rPr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2912A0"/>
    <w:rPr>
      <w:vertAlign w:val="superscript"/>
    </w:rPr>
  </w:style>
  <w:style w:type="paragraph" w:customStyle="1" w:styleId="xl27">
    <w:name w:val="xl27"/>
    <w:basedOn w:val="Normal"/>
    <w:rsid w:val="002912A0"/>
    <w:pPr>
      <w:spacing w:before="100" w:beforeAutospacing="1" w:after="100" w:afterAutospacing="1"/>
      <w:jc w:val="right"/>
    </w:pPr>
    <w:rPr>
      <w:rFonts w:ascii="Arial" w:eastAsia="Arial Unicode MS" w:hAnsi="Arial"/>
      <w:sz w:val="16"/>
      <w:szCs w:val="22"/>
      <w:lang w:val="it-IT" w:eastAsia="en-US"/>
    </w:rPr>
  </w:style>
  <w:style w:type="paragraph" w:customStyle="1" w:styleId="DraftLineWC">
    <w:name w:val="DraftLineW&amp;C"/>
    <w:basedOn w:val="Normal"/>
    <w:uiPriority w:val="99"/>
    <w:semiHidden/>
    <w:rsid w:val="00542274"/>
    <w:pPr>
      <w:framePr w:w="5328" w:hSpace="187" w:vSpace="187" w:wrap="around" w:vAnchor="page" w:hAnchor="page" w:x="5761" w:y="721"/>
      <w:jc w:val="right"/>
    </w:pPr>
    <w:rPr>
      <w:rFonts w:ascii="Times New Roman" w:eastAsia="Times New Roman" w:hAnsi="Times New Roman"/>
      <w:sz w:val="20"/>
      <w:lang w:val="en-US" w:eastAsia="en-US"/>
    </w:rPr>
  </w:style>
  <w:style w:type="character" w:styleId="Textoennegrita">
    <w:name w:val="Strong"/>
    <w:uiPriority w:val="22"/>
    <w:qFormat/>
    <w:rsid w:val="00542274"/>
    <w:rPr>
      <w:b/>
      <w:bCs/>
    </w:rPr>
  </w:style>
  <w:style w:type="character" w:customStyle="1" w:styleId="apple-converted-space">
    <w:name w:val="apple-converted-space"/>
    <w:basedOn w:val="Fuentedeprrafopredeter"/>
    <w:rsid w:val="00CA57A4"/>
  </w:style>
  <w:style w:type="paragraph" w:styleId="Sinespaciado">
    <w:name w:val="No Spacing"/>
    <w:uiPriority w:val="1"/>
    <w:qFormat/>
    <w:rsid w:val="00100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ilanci-testorientri0">
    <w:name w:val="bilanci-testorientri"/>
    <w:basedOn w:val="Normal"/>
    <w:rsid w:val="003963FB"/>
    <w:pPr>
      <w:spacing w:before="100" w:beforeAutospacing="1" w:after="100" w:afterAutospacing="1"/>
    </w:pPr>
    <w:rPr>
      <w:rFonts w:ascii="Times New Roman" w:eastAsia="Times New Roman" w:hAnsi="Times New Roman"/>
      <w:lang w:val="it-IT" w:eastAsia="it-IT"/>
    </w:rPr>
  </w:style>
  <w:style w:type="table" w:customStyle="1" w:styleId="table">
    <w:name w:val="table"/>
    <w:basedOn w:val="Tablanormal"/>
    <w:rsid w:val="00FB0115"/>
    <w:rPr>
      <w:rFonts w:ascii="Times New Roman" w:eastAsia="Times New Roman" w:hAnsi="Times New Roman"/>
      <w:lang w:val="en-US" w:eastAsia="en-US"/>
    </w:rPr>
    <w:tblPr/>
  </w:style>
  <w:style w:type="character" w:customStyle="1" w:styleId="font24">
    <w:name w:val="font2_4"/>
    <w:basedOn w:val="Fuentedeprrafopredeter"/>
    <w:rsid w:val="00FB0115"/>
    <w:rPr>
      <w:rFonts w:ascii="Arial" w:eastAsia="Arial" w:hAnsi="Arial" w:cs="Arial"/>
      <w:b w:val="0"/>
      <w:bCs w:val="0"/>
      <w:i w:val="0"/>
      <w:iCs w:val="0"/>
      <w:color w:val="000000"/>
      <w:sz w:val="15"/>
      <w:szCs w:val="15"/>
    </w:rPr>
  </w:style>
  <w:style w:type="character" w:customStyle="1" w:styleId="font140">
    <w:name w:val="font14_0"/>
    <w:basedOn w:val="Fuentedeprrafopredeter"/>
    <w:rsid w:val="00FB0115"/>
    <w:rPr>
      <w:rFonts w:ascii="Arial" w:eastAsia="Arial" w:hAnsi="Arial" w:cs="Arial"/>
      <w:b w:val="0"/>
      <w:bCs w:val="0"/>
      <w:i w:val="0"/>
      <w:iCs w:val="0"/>
      <w:color w:val="000000"/>
      <w:sz w:val="15"/>
      <w:szCs w:val="15"/>
    </w:rPr>
  </w:style>
  <w:style w:type="character" w:customStyle="1" w:styleId="font43">
    <w:name w:val="font4_3"/>
    <w:basedOn w:val="Fuentedeprrafopredeter"/>
    <w:rsid w:val="00FB0115"/>
    <w:rPr>
      <w:rFonts w:ascii="Arial" w:eastAsia="Arial" w:hAnsi="Arial" w:cs="Arial"/>
      <w:b w:val="0"/>
      <w:bCs w:val="0"/>
      <w:i/>
      <w:iCs/>
      <w:color w:val="000000"/>
      <w:sz w:val="15"/>
      <w:szCs w:val="15"/>
    </w:rPr>
  </w:style>
  <w:style w:type="character" w:customStyle="1" w:styleId="font76">
    <w:name w:val="font7_6"/>
    <w:basedOn w:val="Fuentedeprrafopredeter"/>
    <w:rsid w:val="00FB0115"/>
    <w:rPr>
      <w:rFonts w:ascii="Arial" w:eastAsia="Arial" w:hAnsi="Arial" w:cs="Arial"/>
      <w:b/>
      <w:bCs/>
      <w:i w:val="0"/>
      <w:iCs w:val="0"/>
      <w:color w:val="000000"/>
      <w:sz w:val="15"/>
      <w:szCs w:val="15"/>
    </w:rPr>
  </w:style>
  <w:style w:type="character" w:customStyle="1" w:styleId="font162sturnissturnis">
    <w:name w:val="font16_2_sturnissturnis"/>
    <w:basedOn w:val="Fuentedeprrafopredeter"/>
    <w:rsid w:val="00FB0115"/>
    <w:rPr>
      <w:rFonts w:ascii="Arial" w:eastAsia="Arial" w:hAnsi="Arial" w:cs="Arial"/>
      <w:b w:val="0"/>
      <w:bCs w:val="0"/>
      <w:i w:val="0"/>
      <w:iCs w:val="0"/>
      <w:color w:val="000000"/>
      <w:sz w:val="18"/>
      <w:szCs w:val="18"/>
    </w:rPr>
  </w:style>
  <w:style w:type="character" w:customStyle="1" w:styleId="font171sturnissturnissturnissturnis">
    <w:name w:val="font17_1_sturnissturnissturnissturnis"/>
    <w:basedOn w:val="Fuentedeprrafopredeter"/>
    <w:rsid w:val="00FB0115"/>
    <w:rPr>
      <w:rFonts w:ascii="Arial" w:eastAsia="Arial" w:hAnsi="Arial" w:cs="Arial"/>
      <w:b/>
      <w:bCs/>
      <w:i w:val="0"/>
      <w:iCs w:val="0"/>
      <w:color w:val="000000"/>
      <w:sz w:val="18"/>
      <w:szCs w:val="18"/>
    </w:rPr>
  </w:style>
  <w:style w:type="character" w:customStyle="1" w:styleId="font180sturnissturnis">
    <w:name w:val="font18_0_sturnissturnis"/>
    <w:basedOn w:val="Fuentedeprrafopredeter"/>
    <w:rsid w:val="00FB0115"/>
    <w:rPr>
      <w:rFonts w:ascii="Arial" w:eastAsia="Arial" w:hAnsi="Arial" w:cs="Arial"/>
      <w:b w:val="0"/>
      <w:bCs w:val="0"/>
      <w:i/>
      <w:iCs/>
      <w:color w:val="000000"/>
      <w:sz w:val="18"/>
      <w:szCs w:val="18"/>
    </w:rPr>
  </w:style>
  <w:style w:type="character" w:customStyle="1" w:styleId="font32">
    <w:name w:val="font3_2"/>
    <w:basedOn w:val="Fuentedeprrafopredeter"/>
    <w:rsid w:val="00FB0115"/>
    <w:rPr>
      <w:rFonts w:ascii="Arial" w:eastAsia="Arial" w:hAnsi="Arial" w:cs="Arial"/>
      <w:b w:val="0"/>
      <w:bCs w:val="0"/>
      <w:i w:val="0"/>
      <w:iCs w:val="0"/>
      <w:color w:val="000000"/>
      <w:sz w:val="15"/>
      <w:szCs w:val="15"/>
    </w:rPr>
  </w:style>
  <w:style w:type="character" w:customStyle="1" w:styleId="font112">
    <w:name w:val="font11_2"/>
    <w:basedOn w:val="Fuentedeprrafopredeter"/>
    <w:rsid w:val="00FB0115"/>
    <w:rPr>
      <w:rFonts w:ascii="Arial" w:eastAsia="Arial" w:hAnsi="Arial" w:cs="Arial"/>
      <w:b w:val="0"/>
      <w:bCs w:val="0"/>
      <w:i w:val="0"/>
      <w:iCs w:val="0"/>
      <w:color w:val="000000"/>
      <w:sz w:val="17"/>
      <w:szCs w:val="17"/>
    </w:rPr>
  </w:style>
  <w:style w:type="paragraph" w:customStyle="1" w:styleId="Bilanci-note">
    <w:name w:val="Bilanci - note"/>
    <w:basedOn w:val="Normal"/>
    <w:link w:val="Bilanci-noteChar"/>
    <w:qFormat/>
    <w:rsid w:val="00FB0115"/>
    <w:pPr>
      <w:spacing w:line="160" w:lineRule="exact"/>
      <w:ind w:right="-1256"/>
    </w:pPr>
    <w:rPr>
      <w:rFonts w:ascii="Arial" w:eastAsiaTheme="minorHAnsi" w:hAnsi="Arial" w:cstheme="minorBidi"/>
      <w:sz w:val="14"/>
      <w:szCs w:val="22"/>
      <w:lang w:val="it-IT" w:eastAsia="en-US"/>
    </w:rPr>
  </w:style>
  <w:style w:type="character" w:customStyle="1" w:styleId="Bilanci-noteChar">
    <w:name w:val="Bilanci - note Char"/>
    <w:basedOn w:val="Fuentedeprrafopredeter"/>
    <w:link w:val="Bilanci-note"/>
    <w:rsid w:val="00FB0115"/>
    <w:rPr>
      <w:rFonts w:ascii="Arial" w:eastAsiaTheme="minorHAnsi" w:hAnsi="Arial" w:cstheme="minorBidi"/>
      <w:sz w:val="14"/>
      <w:szCs w:val="22"/>
      <w:lang w:eastAsia="en-US"/>
    </w:rPr>
  </w:style>
  <w:style w:type="character" w:customStyle="1" w:styleId="font53">
    <w:name w:val="font5_3"/>
    <w:basedOn w:val="Fuentedeprrafopredeter"/>
    <w:rsid w:val="00FB0115"/>
    <w:rPr>
      <w:rFonts w:ascii="Arial" w:eastAsia="Arial" w:hAnsi="Arial" w:cs="Arial"/>
      <w:b/>
      <w:bCs/>
      <w:i w:val="0"/>
      <w:iCs w:val="0"/>
      <w:color w:val="000000"/>
      <w:sz w:val="15"/>
      <w:szCs w:val="15"/>
    </w:rPr>
  </w:style>
  <w:style w:type="character" w:customStyle="1" w:styleId="font102">
    <w:name w:val="font10_2"/>
    <w:basedOn w:val="Fuentedeprrafopredeter"/>
    <w:rsid w:val="00FB0115"/>
    <w:rPr>
      <w:rFonts w:ascii="Arial" w:eastAsia="Arial" w:hAnsi="Arial" w:cs="Arial"/>
      <w:b w:val="0"/>
      <w:bCs w:val="0"/>
      <w:i w:val="0"/>
      <w:iCs w:val="0"/>
      <w:color w:val="000000"/>
      <w:sz w:val="15"/>
      <w:szCs w:val="15"/>
    </w:rPr>
  </w:style>
  <w:style w:type="character" w:customStyle="1" w:styleId="font122">
    <w:name w:val="font12_2"/>
    <w:basedOn w:val="Fuentedeprrafopredeter"/>
    <w:rsid w:val="00FB0115"/>
    <w:rPr>
      <w:rFonts w:ascii="Arial" w:eastAsia="Arial" w:hAnsi="Arial" w:cs="Arial"/>
      <w:b/>
      <w:bCs/>
      <w:i w:val="0"/>
      <w:iCs w:val="0"/>
      <w:color w:val="000000"/>
      <w:sz w:val="15"/>
      <w:szCs w:val="15"/>
    </w:rPr>
  </w:style>
  <w:style w:type="character" w:customStyle="1" w:styleId="font91">
    <w:name w:val="font9_1"/>
    <w:basedOn w:val="Fuentedeprrafopredeter"/>
    <w:rsid w:val="00FB0115"/>
    <w:rPr>
      <w:rFonts w:ascii="Arial" w:eastAsia="Arial" w:hAnsi="Arial" w:cs="Arial"/>
      <w:b w:val="0"/>
      <w:bCs w:val="0"/>
      <w:i w:val="0"/>
      <w:iCs w:val="0"/>
      <w:color w:val="000000"/>
      <w:sz w:val="15"/>
      <w:szCs w:val="15"/>
    </w:rPr>
  </w:style>
  <w:style w:type="character" w:customStyle="1" w:styleId="font66">
    <w:name w:val="font6_6"/>
    <w:basedOn w:val="Fuentedeprrafopredeter"/>
    <w:rsid w:val="00FB0115"/>
    <w:rPr>
      <w:rFonts w:ascii="Arial" w:eastAsia="Arial" w:hAnsi="Arial" w:cs="Arial"/>
      <w:b/>
      <w:bCs/>
      <w:i w:val="0"/>
      <w:iCs w:val="0"/>
      <w:color w:val="000000"/>
      <w:sz w:val="15"/>
      <w:szCs w:val="15"/>
    </w:rPr>
  </w:style>
  <w:style w:type="character" w:customStyle="1" w:styleId="font135sturnis">
    <w:name w:val="font13_5_sturnis"/>
    <w:basedOn w:val="Fuentedeprrafopredeter"/>
    <w:rsid w:val="00FB0115"/>
    <w:rPr>
      <w:rFonts w:ascii="Arial" w:eastAsia="Arial" w:hAnsi="Arial" w:cs="Arial"/>
      <w:b/>
      <w:bCs/>
      <w:i w:val="0"/>
      <w:iCs w:val="0"/>
      <w:color w:val="000000"/>
      <w:sz w:val="15"/>
      <w:szCs w:val="15"/>
    </w:rPr>
  </w:style>
  <w:style w:type="character" w:customStyle="1" w:styleId="font7">
    <w:name w:val="font7"/>
    <w:basedOn w:val="Fuentedeprrafopredeter"/>
    <w:rsid w:val="00FB0115"/>
    <w:rPr>
      <w:rFonts w:ascii="Arial" w:eastAsia="Arial" w:hAnsi="Arial" w:cs="Arial"/>
      <w:b w:val="0"/>
      <w:bCs w:val="0"/>
      <w:i w:val="0"/>
      <w:iCs w:val="0"/>
      <w:color w:val="000000"/>
      <w:sz w:val="14"/>
      <w:szCs w:val="14"/>
    </w:rPr>
  </w:style>
  <w:style w:type="character" w:customStyle="1" w:styleId="font100">
    <w:name w:val="font10_0"/>
    <w:basedOn w:val="Fuentedeprrafopredeter"/>
    <w:rsid w:val="00FB0115"/>
    <w:rPr>
      <w:rFonts w:ascii="Arial" w:eastAsia="Arial" w:hAnsi="Arial" w:cs="Arial"/>
      <w:b/>
      <w:bCs/>
      <w:i w:val="0"/>
      <w:iCs w:val="0"/>
      <w:color w:val="000000"/>
      <w:sz w:val="14"/>
      <w:szCs w:val="14"/>
    </w:rPr>
  </w:style>
  <w:style w:type="character" w:customStyle="1" w:styleId="font171sturnis">
    <w:name w:val="font17_1_sturnis"/>
    <w:basedOn w:val="Fuentedeprrafopredeter"/>
    <w:rsid w:val="00FB0115"/>
    <w:rPr>
      <w:rFonts w:ascii="Arial" w:eastAsia="Arial" w:hAnsi="Arial" w:cs="Arial"/>
      <w:b w:val="0"/>
      <w:bCs w:val="0"/>
      <w:i w:val="0"/>
      <w:iCs w:val="0"/>
      <w:color w:val="000000"/>
      <w:sz w:val="16"/>
      <w:szCs w:val="16"/>
    </w:rPr>
  </w:style>
  <w:style w:type="character" w:customStyle="1" w:styleId="font180">
    <w:name w:val="font18_0"/>
    <w:basedOn w:val="Fuentedeprrafopredeter"/>
    <w:rsid w:val="00FB0115"/>
    <w:rPr>
      <w:rFonts w:ascii="Arial" w:eastAsia="Arial" w:hAnsi="Arial" w:cs="Arial"/>
      <w:b w:val="0"/>
      <w:bCs w:val="0"/>
      <w:i w:val="0"/>
      <w:iCs w:val="0"/>
      <w:color w:val="000000"/>
      <w:sz w:val="18"/>
      <w:szCs w:val="18"/>
    </w:rPr>
  </w:style>
  <w:style w:type="character" w:customStyle="1" w:styleId="font190sturnissturnis">
    <w:name w:val="font19_0_sturnissturnis"/>
    <w:basedOn w:val="Fuentedeprrafopredeter"/>
    <w:rsid w:val="00FB0115"/>
    <w:rPr>
      <w:rFonts w:ascii="Arial" w:eastAsia="Arial" w:hAnsi="Arial" w:cs="Arial"/>
      <w:b/>
      <w:bCs/>
      <w:i w:val="0"/>
      <w:iCs w:val="0"/>
      <w:color w:val="000000"/>
      <w:sz w:val="18"/>
      <w:szCs w:val="18"/>
    </w:rPr>
  </w:style>
  <w:style w:type="character" w:customStyle="1" w:styleId="font20sturnis">
    <w:name w:val="font20_sturnis"/>
    <w:basedOn w:val="Fuentedeprrafopredeter"/>
    <w:rsid w:val="00FB0115"/>
    <w:rPr>
      <w:rFonts w:ascii="Arial" w:eastAsia="Arial" w:hAnsi="Arial" w:cs="Arial"/>
      <w:b w:val="0"/>
      <w:bCs w:val="0"/>
      <w:i w:val="0"/>
      <w:iCs w:val="0"/>
      <w:color w:val="000000"/>
      <w:sz w:val="14"/>
      <w:szCs w:val="14"/>
    </w:rPr>
  </w:style>
  <w:style w:type="character" w:customStyle="1" w:styleId="font30">
    <w:name w:val="font3_0"/>
    <w:basedOn w:val="Fuentedeprrafopredeter"/>
    <w:rsid w:val="00154970"/>
    <w:rPr>
      <w:rFonts w:ascii="Arial" w:eastAsia="Arial" w:hAnsi="Arial" w:cs="Arial"/>
      <w:b w:val="0"/>
      <w:bCs w:val="0"/>
      <w:i/>
      <w:iCs/>
      <w:color w:val="000000"/>
      <w:sz w:val="14"/>
      <w:szCs w:val="14"/>
    </w:rPr>
  </w:style>
  <w:style w:type="character" w:styleId="Mencinsinresolver">
    <w:name w:val="Unresolved Mention"/>
    <w:basedOn w:val="Fuentedeprrafopredeter"/>
    <w:uiPriority w:val="99"/>
    <w:semiHidden/>
    <w:unhideWhenUsed/>
    <w:rsid w:val="00044828"/>
    <w:rPr>
      <w:color w:val="605E5C"/>
      <w:shd w:val="clear" w:color="auto" w:fill="E1DFDD"/>
    </w:rPr>
  </w:style>
  <w:style w:type="character" w:customStyle="1" w:styleId="font4">
    <w:name w:val="font4"/>
    <w:basedOn w:val="Fuentedeprrafopredeter"/>
    <w:rsid w:val="00CC04BC"/>
    <w:rPr>
      <w:rFonts w:ascii="Arial" w:eastAsia="Arial" w:hAnsi="Arial" w:cs="Arial"/>
      <w:b w:val="0"/>
      <w:bCs w:val="0"/>
      <w:i w:val="0"/>
      <w:iCs w:val="0"/>
      <w:color w:val="000000"/>
      <w:sz w:val="14"/>
      <w:szCs w:val="14"/>
    </w:rPr>
  </w:style>
  <w:style w:type="character" w:customStyle="1" w:styleId="font252sturnis">
    <w:name w:val="font25_2_sturnis"/>
    <w:basedOn w:val="Fuentedeprrafopredeter"/>
    <w:rsid w:val="00CC04BC"/>
    <w:rPr>
      <w:rFonts w:ascii="Arial" w:eastAsia="Arial" w:hAnsi="Arial" w:cs="Arial"/>
      <w:b w:val="0"/>
      <w:bCs w:val="0"/>
      <w:i w:val="0"/>
      <w:iCs w:val="0"/>
      <w:color w:val="000000"/>
      <w:sz w:val="16"/>
      <w:szCs w:val="16"/>
    </w:rPr>
  </w:style>
  <w:style w:type="character" w:customStyle="1" w:styleId="font152sturnis">
    <w:name w:val="font15_2_sturnis"/>
    <w:basedOn w:val="Fuentedeprrafopredeter"/>
    <w:rsid w:val="00CC04BC"/>
    <w:rPr>
      <w:rFonts w:ascii="Arial" w:eastAsia="Arial" w:hAnsi="Arial" w:cs="Arial"/>
      <w:b/>
      <w:bCs/>
      <w:i w:val="0"/>
      <w:iCs w:val="0"/>
      <w:color w:val="000000"/>
      <w:sz w:val="14"/>
      <w:szCs w:val="14"/>
    </w:rPr>
  </w:style>
  <w:style w:type="character" w:customStyle="1" w:styleId="font262">
    <w:name w:val="font26_2"/>
    <w:basedOn w:val="Fuentedeprrafopredeter"/>
    <w:rsid w:val="00CC04BC"/>
    <w:rPr>
      <w:rFonts w:ascii="Arial" w:eastAsia="Arial" w:hAnsi="Arial" w:cs="Arial"/>
      <w:b/>
      <w:bCs/>
      <w:i w:val="0"/>
      <w:iCs w:val="0"/>
      <w:color w:val="000000"/>
      <w:sz w:val="16"/>
      <w:szCs w:val="16"/>
    </w:rPr>
  </w:style>
  <w:style w:type="character" w:customStyle="1" w:styleId="font27">
    <w:name w:val="font27"/>
    <w:basedOn w:val="Fuentedeprrafopredeter"/>
    <w:rsid w:val="00CC04BC"/>
    <w:rPr>
      <w:rFonts w:ascii="Arial" w:eastAsia="Arial" w:hAnsi="Arial" w:cs="Arial"/>
      <w:b w:val="0"/>
      <w:bCs w:val="0"/>
      <w:i w:val="0"/>
      <w:iCs w:val="0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ea%20Open\Media%20relations\2016\rebranding\templates_nuovi\Press_Release_160126\Press_Release_160126\Enel\Enel_stationery_pressReleaseTemplate_I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C762B10019D843B20133BB5350F887" ma:contentTypeVersion="1767" ma:contentTypeDescription="Creare un nuovo documento." ma:contentTypeScope="" ma:versionID="3d28d93a79a4fe62ff21a2215ca02831">
  <xsd:schema xmlns:xsd="http://www.w3.org/2001/XMLSchema" xmlns:xs="http://www.w3.org/2001/XMLSchema" xmlns:p="http://schemas.microsoft.com/office/2006/metadata/properties" xmlns:ns2="712ad29c-3035-4a72-a832-a2dc46d5cb4d" xmlns:ns3="d6710056-cc81-4d67-a70f-88c70b65ed23" xmlns:ns4="c6b1a8b2-8000-4e73-a2ac-2a1883b43d4b" targetNamespace="http://schemas.microsoft.com/office/2006/metadata/properties" ma:root="true" ma:fieldsID="7c60100f51e2700101eaf7030c727b07" ns2:_="" ns3:_="" ns4:_="">
    <xsd:import namespace="712ad29c-3035-4a72-a832-a2dc46d5cb4d"/>
    <xsd:import namespace="d6710056-cc81-4d67-a70f-88c70b65ed23"/>
    <xsd:import namespace="c6b1a8b2-8000-4e73-a2ac-2a1883b43d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ad29c-3035-4a72-a832-a2dc46d5cb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1b711ff3-028b-4174-9555-46e73dbb6b14}" ma:internalName="TaxCatchAll" ma:showField="CatchAllData" ma:web="712ad29c-3035-4a72-a832-a2dc46d5c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10056-cc81-4d67-a70f-88c70b65e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Tag immagine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1a8b2-8000-4e73-a2ac-2a1883b4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EMA xmlns="722f10b2-643e-47be-a301-b891cceeb921" xsi:nil="true"/>
    <POR_x00c1_MBITO xmlns="722f10b2-643e-47be-a301-b891cceeb921">
      <Value>INSTITUCIONAL</Value>
    </POR_x00c1_MBITO>
    <SUBTEMA xmlns="722f10b2-643e-47be-a301-b891cceeb921" xsi:nil="true"/>
    <TaxCatchAll xmlns="e893431b-ac2f-4a2b-a147-cbd99e410198" xsi:nil="true"/>
    <Lanzamiento xmlns="722f10b2-643e-47be-a301-b891cceeb921" xsi:nil="true"/>
    <lcf76f155ced4ddcb4097134ff3c332f xmlns="722f10b2-643e-47be-a301-b891cceeb921">
      <Terms xmlns="http://schemas.microsoft.com/office/infopath/2007/PartnerControls"/>
    </lcf76f155ced4ddcb4097134ff3c332f>
    <PORTERRITORIOS xmlns="722f10b2-643e-47be-a301-b891cceeb921">PORTUGAL</PORTERRITORIOS>
    <POREJE xmlns="722f10b2-643e-47be-a301-b891cceeb921">
      <Value>PERSONAS</Value>
    </POREJE>
    <FECHA xmlns="722f10b2-643e-47be-a301-b891cceeb921">2024-11-17T23:00:00+00:00</FECHA>
    <NEGOCIO xmlns="722f10b2-643e-47be-a301-b891cceeb921" xsi:nil="true"/>
    <PROVINCIA xmlns="722f10b2-643e-47be-a301-b891cceeb921" xsi:nil="true"/>
    <_x00c1_MBITO xmlns="722f10b2-643e-47be-a301-b891cceeb9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01D74F48518C498758E06E9B0C0BF2" ma:contentTypeVersion="29" ma:contentTypeDescription="Crear nuevo documento." ma:contentTypeScope="" ma:versionID="f778799f1404067d9b409dc217f25359">
  <xsd:schema xmlns:xsd="http://www.w3.org/2001/XMLSchema" xmlns:xs="http://www.w3.org/2001/XMLSchema" xmlns:p="http://schemas.microsoft.com/office/2006/metadata/properties" xmlns:ns2="722f10b2-643e-47be-a301-b891cceeb921" xmlns:ns3="e893431b-ac2f-4a2b-a147-cbd99e410198" targetNamespace="http://schemas.microsoft.com/office/2006/metadata/properties" ma:root="true" ma:fieldsID="7e7281f4b2fa3586ff9c53a421ad2706" ns2:_="" ns3:_="">
    <xsd:import namespace="722f10b2-643e-47be-a301-b891cceeb921"/>
    <xsd:import namespace="e893431b-ac2f-4a2b-a147-cbd99e410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anzamiento" minOccurs="0"/>
                <xsd:element ref="ns2:POREJE" minOccurs="0"/>
                <xsd:element ref="ns2:POR_x00c1_MBITO" minOccurs="0"/>
                <xsd:element ref="ns2:PORTERRITORIOS" minOccurs="0"/>
                <xsd:element ref="ns2:PORTEMA" minOccurs="0"/>
                <xsd:element ref="ns2:SUBTEM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CHA" minOccurs="0"/>
                <xsd:element ref="ns2:MediaServiceLocation" minOccurs="0"/>
                <xsd:element ref="ns2:NEGOCIO" minOccurs="0"/>
                <xsd:element ref="ns2:_x00c1_MBITO" minOccurs="0"/>
                <xsd:element ref="ns2:PROVI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10b2-643e-47be-a301-b891cceeb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anzamiento" ma:index="20" nillable="true" ma:displayName="Lanzamiento" ma:format="Dropdown" ma:internalName="Lanzamien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DS 3: Salud y Bienestar"/>
                    <xsd:enumeration value="ODS 4: Educación de calidad"/>
                    <xsd:enumeration value="ODS 5: Igualdad de género"/>
                    <xsd:enumeration value="ODS 6: Agua limpia y saneamiento"/>
                    <xsd:enumeration value="ODS 7: Energía asequible y no contaminante"/>
                    <xsd:enumeration value="ODS 8: Trabajo decente y crecimiento económico"/>
                    <xsd:enumeration value="ODS 9: Industria, Innovación e Infraestructura"/>
                    <xsd:enumeration value="ODS 10:  Reducción desigualdades"/>
                    <xsd:enumeration value="ODS 11: Ciudades y comunidades sostenibles"/>
                    <xsd:enumeration value="ODS 12: Producción y consumo responsables"/>
                    <xsd:enumeration value="ODS 13: Acción por el clima"/>
                    <xsd:enumeration value="ODS 14: Vida submarina"/>
                    <xsd:enumeration value="ODS 15: Vida de ecosistemas terrestres"/>
                    <xsd:enumeration value="ODS 16: Paz, justicia e instituciones sólidas"/>
                    <xsd:enumeration value="ODS 17: Alianzas para lograr los objetivos"/>
                  </xsd:restriction>
                </xsd:simpleType>
              </xsd:element>
            </xsd:sequence>
          </xsd:extension>
        </xsd:complexContent>
      </xsd:complexType>
    </xsd:element>
    <xsd:element name="POREJE" ma:index="21" nillable="true" ma:displayName="POR EJE" ma:description="ELEGIR UNO DE LOS EJES DE COMUNICACIÓN A LOS QUE SE REFIERA LA NOTA DE PRENSA" ma:format="Dropdown" ma:internalName="POREJ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FICACIÓN"/>
                        <xsd:enumeration value="ACELERADORES DEL CRECIMIENTO"/>
                        <xsd:enumeration value="PERSONAS"/>
                        <xsd:enumeration value="Opción 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OR_x00c1_MBITO" ma:index="22" nillable="true" ma:displayName="POR ÁMBITO" ma:format="Dropdown" ma:internalName="POR_x00c1_MBI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IVO"/>
                    <xsd:enumeration value="GENERACIÓN"/>
                    <xsd:enumeration value="DISTRIBUCIÓN"/>
                    <xsd:enumeration value="COMERCIAL"/>
                    <xsd:enumeration value="INSTITUCIONAL"/>
                    <xsd:enumeration value="FUNDACIÓN ENDESA"/>
                    <xsd:enumeration value="FINANCIERO"/>
                    <xsd:enumeration value="REGULACIÓN"/>
                    <xsd:enumeration value="GESTIÓN ENERGÍA"/>
                    <xsd:enumeration value="SOSTENIBILIDAD"/>
                    <xsd:enumeration value="PATROCINIO"/>
                  </xsd:restriction>
                </xsd:simpleType>
              </xsd:element>
            </xsd:sequence>
          </xsd:extension>
        </xsd:complexContent>
      </xsd:complexType>
    </xsd:element>
    <xsd:element name="PORTERRITORIOS" ma:index="23" nillable="true" ma:displayName="POR TERRITORIOS" ma:format="Dropdown" ma:internalName="PORTERRITORIOS">
      <xsd:simpleType>
        <xsd:restriction base="dms:Choice">
          <xsd:enumeration value="CORPORATIVO"/>
          <xsd:enumeration value="SUR"/>
          <xsd:enumeration value="CATALUÑA"/>
          <xsd:enumeration value="NOROESTE"/>
          <xsd:enumeration value="ARAGÓN"/>
          <xsd:enumeration value="BALEARES"/>
          <xsd:enumeration value="CANARIAS"/>
          <xsd:enumeration value="PORTUGAL"/>
          <xsd:enumeration value="OTROS TERRITORIOS"/>
        </xsd:restriction>
      </xsd:simpleType>
    </xsd:element>
    <xsd:element name="PORTEMA" ma:index="24" nillable="true" ma:displayName="POR TEMA" ma:format="Dropdown" ma:internalName="PORTEMA">
      <xsd:simpleType>
        <xsd:restriction base="dms:Choice">
          <xsd:enumeration value="ENERGÍA ASEQUIBLE Y NO CONTAMINANTE"/>
          <xsd:enumeration value="DISTRIBUCIÓN FIABLE Y SEGURA"/>
          <xsd:enumeration value="SERVICIOS ALTA CALIDAD Y TECNOLOGÍA"/>
          <xsd:enumeration value="EMPODERAMIENTO PERSONAS"/>
          <xsd:enumeration value="IMPACTO AMBIENTAL Y SOCIAL"/>
          <xsd:enumeration value="TECNOLOGÍA E INNOVACIÓN"/>
          <xsd:enumeration value="Opción 7"/>
        </xsd:restriction>
      </xsd:simpleType>
    </xsd:element>
    <xsd:element name="SUBTEMA" ma:index="25" nillable="true" ma:displayName="SUBTEMA" ma:description="EJE ELECTRIFICACIÓN&#10;TEMA: ENERGIA ASEQUIBLE Y SEGURA" ma:format="Dropdown" ma:internalName="SUBTEMA">
      <xsd:simpleType>
        <xsd:restriction base="dms:Choice">
          <xsd:enumeration value="RENOVABLES"/>
          <xsd:enumeration value="ALMACENAMIENTO"/>
          <xsd:enumeration value="HIDRÓGENO VERDE"/>
          <xsd:enumeration value="TRANSFORMACIÓN CENTRALES"/>
          <xsd:enumeration value="REDES PARA DESCARBONIZACIÓN Y ELECTRIFICACIÓN"/>
          <xsd:enumeration value="DESARROLLO FUTURO DE LA RED"/>
          <xsd:enumeration value="GRID BLUE SKY"/>
          <xsd:enumeration value="BENEFICIOS ELECTRIFICACIÓN"/>
          <xsd:enumeration value="EXPERIENCIA Y SERVICIO AL CLIENTE"/>
          <xsd:enumeration value="PROPUESTA COMERCIAL INTEGRADA"/>
          <xsd:enumeration value="MOVILIDAD ELECTRICA"/>
          <xsd:enumeration value="SOLUCIONES SOSTENIBILIDAD"/>
          <xsd:enumeration value="SERVICIOS FINANCIEROS"/>
          <xsd:enumeration value="DERECHOS HUMANOS"/>
          <xsd:enumeration value="EMPODERAMIENTO MUJER"/>
          <xsd:enumeration value="DIVERSIDAD Y NEGOCIOS INCLUSIVOS"/>
          <xsd:enumeration value="SEGURIDAD Y SALUD LABORAL"/>
          <xsd:enumeration value="ACCESO A LA ENERGIA"/>
          <xsd:enumeration value="NUEVO MODELO DE TRABAJO"/>
          <xsd:enumeration value="CULTURA, EDUCACIÓN Y DEPORTE"/>
          <xsd:enumeration value="MEDIO AMBIENTE"/>
          <xsd:enumeration value="ECONOMIA CIRCULAR Y MATERIALES"/>
          <xsd:enumeration value="CADENA VALOR SOSTENIBLE"/>
          <xsd:enumeration value="FINANZAS SOSTENIBLES"/>
          <xsd:enumeration value="PLATAFORMAS, AUTOMATIZACIÓN, DIGITALIZACIÓN Y CIBERSGURIDAD"/>
          <xsd:enumeration value="NUEVAS TECNOLOGÍAS"/>
          <xsd:enumeration value="NEGOCIO DATOS"/>
          <xsd:enumeration value="ECOSISTEMA INNOV ABIERTA"/>
          <xsd:enumeration value="Opción 29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31" nillable="true" ma:displayName="FECHA" ma:description="FECHA PUBLICACIÓN" ma:format="DateOnly" ma:internalName="FECHA">
      <xsd:simpleType>
        <xsd:restriction base="dms:DateTime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NEGOCIO" ma:index="33" nillable="true" ma:displayName="NEGOCIO" ma:format="Dropdown" ma:internalName="NEGOCI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CIÓN"/>
                    <xsd:enumeration value="DISTRIBUCIÓN"/>
                    <xsd:enumeration value="COMERCIAL"/>
                    <xsd:enumeration value="INSTITUCIONAL"/>
                    <xsd:enumeration value="CORPORATIVO"/>
                  </xsd:restriction>
                </xsd:simpleType>
              </xsd:element>
            </xsd:sequence>
          </xsd:extension>
        </xsd:complexContent>
      </xsd:complexType>
    </xsd:element>
    <xsd:element name="_x00c1_MBITO" ma:index="34" nillable="true" ma:displayName="ÁMBITO" ma:format="Dropdown" ma:internalName="_x00c1_MBI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. RENOVABLE"/>
                    <xsd:enumeration value="GEN. CONVENCIONAL"/>
                    <xsd:enumeration value="SOSTENIBILIDAD (GEN.)"/>
                    <xsd:enumeration value="TRANS. ENERGÉTICA"/>
                    <xsd:enumeration value="O&amp;M REDES"/>
                    <xsd:enumeration value="DESARROLLOS RED"/>
                    <xsd:enumeration value="NUEVOS SUMINISTROS"/>
                    <xsd:enumeration value="INCIDENCIAS"/>
                    <xsd:enumeration value="PROCEDIMIENTOS / SANCIONES"/>
                    <xsd:enumeration value="FRAUDE"/>
                    <xsd:enumeration value="SOSTENIBILIDAD (REDES)"/>
                    <xsd:enumeration value="HSQ"/>
                    <xsd:enumeration value="CLIENTES (ACCESO RED)"/>
                    <xsd:enumeration value="B2B / EMPRESAS"/>
                    <xsd:enumeration value="B2C / PARTICULARES"/>
                    <xsd:enumeration value="B2G / AAPP"/>
                    <xsd:enumeration value="MOVILIDAD ELÉCTRICA"/>
                    <xsd:enumeration value="REPRESENTACIÓN INST."/>
                    <xsd:enumeration value="REGULACIÓN"/>
                    <xsd:enumeration value="FUNDACIÓN"/>
                    <xsd:enumeration value="MEDIOAMBIENTE"/>
                    <xsd:enumeration value="COMPRAS Y APROVISIONAMIENTO"/>
                    <xsd:enumeration value="PATROCINIOS"/>
                    <xsd:enumeration value="GESTIÓN DE LA ENERGÍA"/>
                    <xsd:enumeration value="FINANCIERO"/>
                    <xsd:enumeration value="RRHH"/>
                    <xsd:enumeration value="MEDIOS / SEDES CORPORATIVAS"/>
                    <xsd:enumeration value="INTERNACIONAL"/>
                    <xsd:enumeration value="MARCA"/>
                  </xsd:restriction>
                </xsd:simpleType>
              </xsd:element>
            </xsd:sequence>
          </xsd:extension>
        </xsd:complexContent>
      </xsd:complexType>
    </xsd:element>
    <xsd:element name="PROVINCIA" ma:index="35" nillable="true" ma:displayName="PROVINCIA" ma:format="Dropdown" ma:internalName="PROVINC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DALUCÍA"/>
                    <xsd:enumeration value="Almería"/>
                    <xsd:enumeration value="Cádiz"/>
                    <xsd:enumeration value="Córdoba"/>
                    <xsd:enumeration value="Granada"/>
                    <xsd:enumeration value="Huelva"/>
                    <xsd:enumeration value="Jaén"/>
                    <xsd:enumeration value="Málaga"/>
                    <xsd:enumeration value="Sevilla"/>
                    <xsd:enumeration value="EXTREMADURA"/>
                    <xsd:enumeration value="Badajoz"/>
                    <xsd:enumeration value="Cáceres"/>
                    <xsd:enumeration value="CEUTA"/>
                    <xsd:enumeration value="MELILLA"/>
                    <xsd:enumeration value="CATALUNYA"/>
                    <xsd:enumeration value="Barcelona"/>
                    <xsd:enumeration value="Catalunya Central"/>
                    <xsd:enumeration value="Girona"/>
                    <xsd:enumeration value="Lleida"/>
                    <xsd:enumeration value="Tarragona nord"/>
                    <xsd:enumeration value="Tarragona sud"/>
                    <xsd:enumeration value="Vallès Occidental"/>
                    <xsd:enumeration value="Vallès Oriental - Maresme"/>
                    <xsd:enumeration value="ARAGÓN"/>
                    <xsd:enumeration value="Huesca"/>
                    <xsd:enumeration value="Teruel"/>
                    <xsd:enumeration value="Zaragoza"/>
                    <xsd:enumeration value="BALEARES"/>
                    <xsd:enumeration value="CANARIAS"/>
                    <xsd:enumeration value="NACIONAL"/>
                    <xsd:enumeration value="NOROESTE"/>
                    <xsd:enumeration value="PORTUGAL"/>
                    <xsd:enumeration value="OTROS"/>
                    <xsd:enumeration value="Castilla y León"/>
                    <xsd:enumeration value="Castilla-La Mancha"/>
                    <xsd:enumeration value="Murcia"/>
                    <xsd:enumeration value="Otros (Asturias, Valencia, etc.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431b-ac2f-4a2b-a147-cbd99e410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c5b8ef2-bfed-4a02-960f-0306a8ff7c8a}" ma:internalName="TaxCatchAll" ma:showField="CatchAllData" ma:web="e893431b-ac2f-4a2b-a147-cbd99e410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4EE66-0D35-42BA-B5A3-5F7EA593F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ad29c-3035-4a72-a832-a2dc46d5cb4d"/>
    <ds:schemaRef ds:uri="d6710056-cc81-4d67-a70f-88c70b65ed23"/>
    <ds:schemaRef ds:uri="c6b1a8b2-8000-4e73-a2ac-2a1883b43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0A983-D91D-4251-AF56-EC84F71CEB2F}">
  <ds:schemaRefs>
    <ds:schemaRef ds:uri="http://schemas.microsoft.com/office/2006/metadata/properties"/>
    <ds:schemaRef ds:uri="http://schemas.microsoft.com/office/infopath/2007/PartnerControls"/>
    <ds:schemaRef ds:uri="712ad29c-3035-4a72-a832-a2dc46d5cb4d"/>
    <ds:schemaRef ds:uri="d6710056-cc81-4d67-a70f-88c70b65ed23"/>
  </ds:schemaRefs>
</ds:datastoreItem>
</file>

<file path=customXml/itemProps3.xml><?xml version="1.0" encoding="utf-8"?>
<ds:datastoreItem xmlns:ds="http://schemas.openxmlformats.org/officeDocument/2006/customXml" ds:itemID="{F8230BC0-0176-4A17-A883-A858AC6098F5}"/>
</file>

<file path=customXml/itemProps4.xml><?xml version="1.0" encoding="utf-8"?>
<ds:datastoreItem xmlns:ds="http://schemas.openxmlformats.org/officeDocument/2006/customXml" ds:itemID="{FC6C31F9-AA11-442F-8C97-256A6A1AD1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3B9F7C-00E5-44BE-B31B-65C114A6F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Enel_stationery_pressReleaseTemplate_ITA</Template>
  <TotalTime>2</TotalTime>
  <Pages>7</Pages>
  <Words>2732</Words>
  <Characters>15032</Characters>
  <Application>Microsoft Office Word</Application>
  <DocSecurity>0</DocSecurity>
  <Lines>125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Enel s.p.a.</Company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a453817</dc:creator>
  <cp:keywords/>
  <cp:lastModifiedBy>Garcia Lopez, Cristina</cp:lastModifiedBy>
  <cp:revision>4</cp:revision>
  <cp:lastPrinted>2024-07-24T22:18:00Z</cp:lastPrinted>
  <dcterms:created xsi:type="dcterms:W3CDTF">2024-11-18T05:15:00Z</dcterms:created>
  <dcterms:modified xsi:type="dcterms:W3CDTF">2024-11-18T07:45:00Z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84f6bf-f638-41cc-935f-2157ddac8142_Enabled">
    <vt:lpwstr>true</vt:lpwstr>
  </property>
  <property fmtid="{D5CDD505-2E9C-101B-9397-08002B2CF9AE}" pid="3" name="MSIP_Label_b284f6bf-f638-41cc-935f-2157ddac8142_SetDate">
    <vt:lpwstr>2023-07-14T15:24:43Z</vt:lpwstr>
  </property>
  <property fmtid="{D5CDD505-2E9C-101B-9397-08002B2CF9AE}" pid="4" name="MSIP_Label_b284f6bf-f638-41cc-935f-2157ddac8142_Method">
    <vt:lpwstr>Privileged</vt:lpwstr>
  </property>
  <property fmtid="{D5CDD505-2E9C-101B-9397-08002B2CF9AE}" pid="5" name="MSIP_Label_b284f6bf-f638-41cc-935f-2157ddac8142_Name">
    <vt:lpwstr>b284f6bf-f638-41cc-935f-2157ddac8142</vt:lpwstr>
  </property>
  <property fmtid="{D5CDD505-2E9C-101B-9397-08002B2CF9AE}" pid="6" name="MSIP_Label_b284f6bf-f638-41cc-935f-2157ddac8142_SiteId">
    <vt:lpwstr>d539d4bf-5610-471a-afc2-1c76685cfefa</vt:lpwstr>
  </property>
  <property fmtid="{D5CDD505-2E9C-101B-9397-08002B2CF9AE}" pid="7" name="MSIP_Label_b284f6bf-f638-41cc-935f-2157ddac8142_ActionId">
    <vt:lpwstr>1b42d321-8ee7-4c74-8658-86820b04128f</vt:lpwstr>
  </property>
  <property fmtid="{D5CDD505-2E9C-101B-9397-08002B2CF9AE}" pid="8" name="MSIP_Label_b284f6bf-f638-41cc-935f-2157ddac8142_ContentBits">
    <vt:lpwstr>0</vt:lpwstr>
  </property>
  <property fmtid="{D5CDD505-2E9C-101B-9397-08002B2CF9AE}" pid="9" name="_dlc_DocIdItemGuid">
    <vt:lpwstr>40f40cbe-6b2e-4320-86ad-f8f7ecc62946</vt:lpwstr>
  </property>
  <property fmtid="{D5CDD505-2E9C-101B-9397-08002B2CF9AE}" pid="10" name="MediaServiceImageTags">
    <vt:lpwstr/>
  </property>
  <property fmtid="{D5CDD505-2E9C-101B-9397-08002B2CF9AE}" pid="11" name="ContentTypeId">
    <vt:lpwstr>0x0101005D01D74F48518C498758E06E9B0C0BF2</vt:lpwstr>
  </property>
</Properties>
</file>